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1A3B" w:rsidRDefault="00E01A3B" w:rsidP="00E01A3B">
      <w:pPr>
        <w:rPr>
          <w:rFonts w:asciiTheme="majorHAnsi" w:eastAsia="Times New Roman" w:hAnsiTheme="majorHAnsi" w:cs="Arial"/>
          <w:b/>
          <w:color w:val="365F91" w:themeColor="accent1" w:themeShade="BF"/>
          <w:sz w:val="52"/>
          <w:szCs w:val="56"/>
          <w:lang w:val="x-none" w:eastAsia="x-none"/>
        </w:rPr>
      </w:pPr>
    </w:p>
    <w:sdt>
      <w:sdtPr>
        <w:rPr>
          <w:color w:val="000000" w:themeColor="text1"/>
          <w:sz w:val="32"/>
          <w:szCs w:val="32"/>
        </w:rPr>
        <w:id w:val="-194005733"/>
        <w:docPartObj>
          <w:docPartGallery w:val="Cover Pages"/>
          <w:docPartUnique/>
        </w:docPartObj>
      </w:sdtPr>
      <w:sdtEndPr>
        <w:rPr>
          <w:b/>
          <w:color w:val="76923C" w:themeColor="accent3" w:themeShade="BF"/>
          <w:sz w:val="22"/>
          <w:szCs w:val="22"/>
        </w:rPr>
      </w:sdtEndPr>
      <w:sdtContent>
        <w:p w:rsidR="00E01A3B" w:rsidRDefault="00E01A3B" w:rsidP="00E01A3B">
          <w:pPr>
            <w:jc w:val="right"/>
            <w:rPr>
              <w:color w:val="000000" w:themeColor="text1"/>
              <w:sz w:val="32"/>
              <w:szCs w:val="32"/>
            </w:rPr>
          </w:pPr>
          <w:r>
            <w:rPr>
              <w:b/>
              <w:noProof/>
              <w:color w:val="76923C" w:themeColor="accent3" w:themeShade="BF"/>
            </w:rPr>
            <w:drawing>
              <wp:anchor distT="0" distB="0" distL="114300" distR="114300" simplePos="0" relativeHeight="251661312" behindDoc="0" locked="0" layoutInCell="1" allowOverlap="1" wp14:anchorId="282F0492" wp14:editId="2ECF1721">
                <wp:simplePos x="0" y="0"/>
                <wp:positionH relativeFrom="margin">
                  <wp:posOffset>4352290</wp:posOffset>
                </wp:positionH>
                <wp:positionV relativeFrom="margin">
                  <wp:posOffset>-574675</wp:posOffset>
                </wp:positionV>
                <wp:extent cx="1475105" cy="1654810"/>
                <wp:effectExtent l="0" t="0" r="0" b="254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F_Logo_smal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5105" cy="1654810"/>
                        </a:xfrm>
                        <a:prstGeom prst="rect">
                          <a:avLst/>
                        </a:prstGeom>
                      </pic:spPr>
                    </pic:pic>
                  </a:graphicData>
                </a:graphic>
                <wp14:sizeRelH relativeFrom="page">
                  <wp14:pctWidth>0</wp14:pctWidth>
                </wp14:sizeRelH>
                <wp14:sizeRelV relativeFrom="page">
                  <wp14:pctHeight>0</wp14:pctHeight>
                </wp14:sizeRelV>
              </wp:anchor>
            </w:drawing>
          </w:r>
        </w:p>
        <w:p w:rsidR="00E01A3B" w:rsidRDefault="00E01A3B" w:rsidP="00E01A3B">
          <w:pPr>
            <w:rPr>
              <w:b/>
              <w:color w:val="76923C" w:themeColor="accent3" w:themeShade="BF"/>
            </w:rPr>
          </w:pPr>
        </w:p>
      </w:sdtContent>
    </w:sdt>
    <w:p w:rsidR="00E01A3B" w:rsidRDefault="00E01A3B" w:rsidP="00E01A3B">
      <w:pPr>
        <w:jc w:val="right"/>
        <w:rPr>
          <w:b/>
          <w:color w:val="76923C" w:themeColor="accent3" w:themeShade="BF"/>
        </w:rPr>
      </w:pPr>
      <w:r>
        <w:rPr>
          <w:noProof/>
        </w:rPr>
        <mc:AlternateContent>
          <mc:Choice Requires="wps">
            <w:drawing>
              <wp:anchor distT="0" distB="0" distL="114300" distR="114300" simplePos="0" relativeHeight="251659264" behindDoc="0" locked="0" layoutInCell="1" allowOverlap="1" wp14:anchorId="59B70868" wp14:editId="5DCA5931">
                <wp:simplePos x="0" y="0"/>
                <wp:positionH relativeFrom="column">
                  <wp:posOffset>-932180</wp:posOffset>
                </wp:positionH>
                <wp:positionV relativeFrom="paragraph">
                  <wp:posOffset>227965</wp:posOffset>
                </wp:positionV>
                <wp:extent cx="7909560" cy="1694180"/>
                <wp:effectExtent l="0" t="0" r="0" b="127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09560" cy="1694180"/>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73.35pt;margin-top:17.95pt;width:622.8pt;height:13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" fillcolor="#31849b [2408]" stroked="f" strokeweight="2pt">
                <v:path arrowok="t"/>
              </v:rect>
            </w:pict>
          </mc:Fallback>
        </mc:AlternateContent>
      </w:r>
    </w:p>
    <w:p w:rsidR="00E01A3B" w:rsidRDefault="00E01A3B" w:rsidP="00E01A3B">
      <w:pPr>
        <w:jc w:val="right"/>
        <w:rPr>
          <w:b/>
          <w:color w:val="76923C" w:themeColor="accent3" w:themeShade="BF"/>
        </w:rPr>
      </w:pPr>
      <w:r>
        <w:rPr>
          <w:noProof/>
        </w:rPr>
        <mc:AlternateContent>
          <mc:Choice Requires="wps">
            <w:drawing>
              <wp:anchor distT="0" distB="0" distL="114300" distR="114300" simplePos="0" relativeHeight="251660288" behindDoc="0" locked="0" layoutInCell="1" allowOverlap="1" wp14:anchorId="36CC9DB8" wp14:editId="62CB6B6A">
                <wp:simplePos x="0" y="0"/>
                <wp:positionH relativeFrom="margin">
                  <wp:posOffset>-609600</wp:posOffset>
                </wp:positionH>
                <wp:positionV relativeFrom="paragraph">
                  <wp:posOffset>186690</wp:posOffset>
                </wp:positionV>
                <wp:extent cx="7155180" cy="152400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5180" cy="152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1A3B" w:rsidRPr="003411D3" w:rsidRDefault="00E01A3B" w:rsidP="00E01A3B">
                            <w:pPr>
                              <w:spacing w:after="0" w:line="240" w:lineRule="auto"/>
                              <w:jc w:val="center"/>
                              <w:rPr>
                                <w:rFonts w:asciiTheme="majorHAnsi" w:eastAsia="Times New Roman" w:hAnsiTheme="majorHAnsi" w:cs="Arial"/>
                                <w:b/>
                                <w:color w:val="FFFFFF" w:themeColor="background1"/>
                                <w:sz w:val="52"/>
                                <w:szCs w:val="56"/>
                                <w:lang w:val="x-none" w:eastAsia="x-none"/>
                              </w:rPr>
                            </w:pPr>
                            <w:r w:rsidRPr="003411D3">
                              <w:rPr>
                                <w:rFonts w:asciiTheme="majorHAnsi" w:eastAsia="Times New Roman" w:hAnsiTheme="majorHAnsi" w:cs="Arial"/>
                                <w:b/>
                                <w:color w:val="FFFFFF" w:themeColor="background1"/>
                                <w:sz w:val="52"/>
                                <w:szCs w:val="56"/>
                                <w:lang w:val="x-none" w:eastAsia="x-none"/>
                              </w:rPr>
                              <w:t>Financing the Infrastructure to Support Alternative Fuel Vehicles:</w:t>
                            </w:r>
                          </w:p>
                          <w:p w:rsidR="00E01A3B" w:rsidRPr="003411D3" w:rsidRDefault="00E01A3B" w:rsidP="00E01A3B">
                            <w:pPr>
                              <w:jc w:val="center"/>
                              <w:rPr>
                                <w:color w:val="FFFFFF" w:themeColor="background1"/>
                              </w:rPr>
                            </w:pPr>
                            <w:r w:rsidRPr="003411D3">
                              <w:rPr>
                                <w:rFonts w:eastAsia="Times New Roman" w:cs="Arial"/>
                                <w:b/>
                                <w:color w:val="FFFFFF" w:themeColor="background1"/>
                                <w:sz w:val="32"/>
                                <w:szCs w:val="28"/>
                                <w:lang w:val="x-none" w:eastAsia="x-none"/>
                              </w:rPr>
                              <w:t>How Much Investment is Needed and How Will It Be Funded?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7" o:spid="_x0000_s1026" type="#_x0000_t202" style="position:absolute;left:0;text-align:left;margin-left:-47.95pt;margin-top:14.7pt;width:563.4pt;height:120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" filled="f" stroked="f" strokeweight=".5pt">
                <v:path arrowok="t"/>
                <v:textbox>
                  <w:txbxContent>
                    <w:p w:rsidR="00E01A3B" w:rsidRPr="003411D3" w:rsidRDefault="00E01A3B" w:rsidP="00E01A3B">
                      <w:pPr>
                        <w:spacing w:after="0" w:line="240" w:lineRule="auto"/>
                        <w:jc w:val="center"/>
                        <w:rPr>
                          <w:rFonts w:asciiTheme="majorHAnsi" w:eastAsia="Times New Roman" w:hAnsiTheme="majorHAnsi" w:cs="Arial"/>
                          <w:b/>
                          <w:color w:val="FFFFFF" w:themeColor="background1"/>
                          <w:sz w:val="52"/>
                          <w:szCs w:val="56"/>
                          <w:lang w:val="x-none" w:eastAsia="x-none"/>
                        </w:rPr>
                      </w:pPr>
                      <w:r w:rsidRPr="003411D3">
                        <w:rPr>
                          <w:rFonts w:asciiTheme="majorHAnsi" w:eastAsia="Times New Roman" w:hAnsiTheme="majorHAnsi" w:cs="Arial"/>
                          <w:b/>
                          <w:color w:val="FFFFFF" w:themeColor="background1"/>
                          <w:sz w:val="52"/>
                          <w:szCs w:val="56"/>
                          <w:lang w:val="x-none" w:eastAsia="x-none"/>
                        </w:rPr>
                        <w:t>Financing the Infrastructure to Support Alternative Fuel Vehicles:</w:t>
                      </w:r>
                    </w:p>
                    <w:p w:rsidR="00E01A3B" w:rsidRPr="003411D3" w:rsidRDefault="00E01A3B" w:rsidP="00E01A3B">
                      <w:pPr>
                        <w:jc w:val="center"/>
                        <w:rPr>
                          <w:color w:val="FFFFFF" w:themeColor="background1"/>
                        </w:rPr>
                      </w:pPr>
                      <w:r w:rsidRPr="003411D3">
                        <w:rPr>
                          <w:rFonts w:eastAsia="Times New Roman" w:cs="Arial"/>
                          <w:b/>
                          <w:color w:val="FFFFFF" w:themeColor="background1"/>
                          <w:sz w:val="32"/>
                          <w:szCs w:val="28"/>
                          <w:lang w:val="x-none" w:eastAsia="x-none"/>
                        </w:rPr>
                        <w:t>How Much Investment is Needed and How Will It Be Funded?</w:t>
                      </w:r>
                    </w:p>
                  </w:txbxContent>
                </v:textbox>
                <w10:wrap anchorx="margin"/>
              </v:shape>
            </w:pict>
          </mc:Fallback>
        </mc:AlternateContent>
      </w:r>
    </w:p>
    <w:p w:rsidR="00E01A3B" w:rsidRDefault="00E01A3B" w:rsidP="00E01A3B">
      <w:pPr>
        <w:jc w:val="right"/>
        <w:rPr>
          <w:b/>
          <w:color w:val="76923C" w:themeColor="accent3" w:themeShade="BF"/>
        </w:rPr>
      </w:pPr>
    </w:p>
    <w:p w:rsidR="00E01A3B" w:rsidRDefault="00E01A3B" w:rsidP="00E01A3B">
      <w:pPr>
        <w:jc w:val="right"/>
        <w:rPr>
          <w:b/>
          <w:color w:val="76923C" w:themeColor="accent3" w:themeShade="BF"/>
        </w:rPr>
      </w:pPr>
    </w:p>
    <w:p w:rsidR="00E01A3B" w:rsidRDefault="00E01A3B" w:rsidP="00E01A3B">
      <w:pPr>
        <w:jc w:val="right"/>
        <w:rPr>
          <w:b/>
          <w:color w:val="76923C" w:themeColor="accent3" w:themeShade="BF"/>
        </w:rPr>
      </w:pPr>
    </w:p>
    <w:p w:rsidR="00E01A3B" w:rsidRDefault="00E01A3B" w:rsidP="00E01A3B">
      <w:pPr>
        <w:jc w:val="right"/>
        <w:rPr>
          <w:b/>
          <w:color w:val="76923C" w:themeColor="accent3" w:themeShade="BF"/>
        </w:rPr>
      </w:pPr>
    </w:p>
    <w:p w:rsidR="00E01A3B" w:rsidRDefault="00E01A3B" w:rsidP="00E01A3B">
      <w:pPr>
        <w:jc w:val="right"/>
        <w:rPr>
          <w:b/>
          <w:color w:val="76923C" w:themeColor="accent3" w:themeShade="BF"/>
        </w:rPr>
      </w:pPr>
    </w:p>
    <w:p w:rsidR="00E01A3B" w:rsidRDefault="00E01A3B" w:rsidP="00E01A3B">
      <w:pPr>
        <w:jc w:val="right"/>
        <w:rPr>
          <w:b/>
          <w:color w:val="76923C" w:themeColor="accent3" w:themeShade="BF"/>
        </w:rPr>
      </w:pPr>
    </w:p>
    <w:p w:rsidR="00E01A3B" w:rsidRDefault="00E01A3B" w:rsidP="00E01A3B">
      <w:pPr>
        <w:spacing w:after="0" w:line="240" w:lineRule="auto"/>
        <w:jc w:val="both"/>
        <w:rPr>
          <w:rFonts w:asciiTheme="majorHAnsi" w:hAnsiTheme="majorHAnsi" w:cs="Arial"/>
          <w:color w:val="1F497D"/>
          <w:sz w:val="24"/>
          <w:szCs w:val="24"/>
        </w:rPr>
        <w:sectPr w:rsidR="00E01A3B" w:rsidSect="00252FBF">
          <w:footerReference w:type="even" r:id="rId10"/>
          <w:footerReference w:type="default" r:id="rId11"/>
          <w:headerReference w:type="first" r:id="rId12"/>
          <w:pgSz w:w="12240" w:h="15840" w:code="1"/>
          <w:pgMar w:top="1440" w:right="1440" w:bottom="1440" w:left="1440" w:header="720" w:footer="720" w:gutter="0"/>
          <w:pgNumType w:start="1"/>
          <w:cols w:space="720"/>
          <w:vAlign w:val="center"/>
        </w:sectPr>
      </w:pPr>
    </w:p>
    <w:p w:rsidR="00E01A3B" w:rsidRDefault="00E01A3B" w:rsidP="00E01A3B">
      <w:pPr>
        <w:spacing w:after="0" w:line="240" w:lineRule="auto"/>
        <w:jc w:val="both"/>
        <w:rPr>
          <w:rFonts w:asciiTheme="majorHAnsi" w:hAnsiTheme="majorHAnsi" w:cs="Arial"/>
          <w:color w:val="1F497D"/>
          <w:sz w:val="24"/>
          <w:szCs w:val="24"/>
        </w:rPr>
      </w:pPr>
    </w:p>
    <w:p w:rsidR="00E01A3B" w:rsidRPr="00D1692C" w:rsidRDefault="00E01A3B" w:rsidP="00E01A3B">
      <w:pPr>
        <w:spacing w:after="0" w:line="240" w:lineRule="auto"/>
        <w:jc w:val="both"/>
        <w:rPr>
          <w:rFonts w:asciiTheme="majorHAnsi" w:hAnsiTheme="majorHAnsi" w:cs="Arial"/>
          <w:color w:val="1F497D"/>
          <w:sz w:val="24"/>
          <w:szCs w:val="24"/>
        </w:rPr>
      </w:pPr>
      <w:r w:rsidRPr="00D1692C">
        <w:rPr>
          <w:rFonts w:asciiTheme="majorHAnsi" w:hAnsiTheme="majorHAnsi" w:cs="Arial"/>
          <w:color w:val="1F497D"/>
          <w:sz w:val="24"/>
          <w:szCs w:val="24"/>
        </w:rPr>
        <w:t>Prepared by:</w:t>
      </w:r>
    </w:p>
    <w:p w:rsidR="00E01A3B" w:rsidRDefault="00E01A3B" w:rsidP="00E01A3B">
      <w:pPr>
        <w:spacing w:after="0" w:line="240" w:lineRule="auto"/>
        <w:jc w:val="both"/>
        <w:rPr>
          <w:rFonts w:ascii="Arial" w:hAnsi="Arial" w:cs="Arial"/>
          <w:sz w:val="24"/>
          <w:szCs w:val="24"/>
        </w:rPr>
        <w:sectPr w:rsidR="00E01A3B" w:rsidSect="00E01A3B">
          <w:type w:val="continuous"/>
          <w:pgSz w:w="12240" w:h="15840" w:code="1"/>
          <w:pgMar w:top="1440" w:right="1440" w:bottom="1440" w:left="1440" w:header="720" w:footer="720" w:gutter="0"/>
          <w:pgNumType w:start="1"/>
          <w:cols w:space="720"/>
          <w:vAlign w:val="center"/>
        </w:sectPr>
      </w:pPr>
    </w:p>
    <w:p w:rsidR="00E01A3B" w:rsidRPr="00973DBF" w:rsidRDefault="00E01A3B" w:rsidP="00E01A3B">
      <w:pPr>
        <w:spacing w:after="0" w:line="240" w:lineRule="auto"/>
        <w:jc w:val="both"/>
        <w:rPr>
          <w:rFonts w:ascii="Arial" w:hAnsi="Arial" w:cs="Arial"/>
          <w:sz w:val="24"/>
          <w:szCs w:val="24"/>
        </w:rPr>
      </w:pPr>
      <w:r w:rsidRPr="000C48E6">
        <w:rPr>
          <w:rFonts w:ascii="Arial" w:hAnsi="Arial" w:cs="Arial"/>
          <w:noProof/>
          <w:color w:val="0000FF"/>
          <w:sz w:val="24"/>
          <w:szCs w:val="24"/>
          <w:shd w:val="clear" w:color="auto" w:fill="CCCCCC"/>
        </w:rPr>
        <w:lastRenderedPageBreak/>
        <w:drawing>
          <wp:inline distT="0" distB="0" distL="0" distR="0" wp14:anchorId="1A7B2204" wp14:editId="00D4B3AC">
            <wp:extent cx="1550992" cy="112776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1"/>
                    <pic:cNvPicPr>
                      <a:picLocks noChangeAspect="1"/>
                    </pic:cNvPicPr>
                  </pic:nvPicPr>
                  <pic:blipFill rotWithShape="1">
                    <a:blip r:embed="rId13" cstate="print">
                      <a:extLst>
                        <a:ext uri="{28A0092B-C50C-407E-A947-70E740481C1C}">
                          <a14:useLocalDpi xmlns:a14="http://schemas.microsoft.com/office/drawing/2010/main" val="0"/>
                        </a:ext>
                      </a:extLst>
                    </a:blip>
                    <a:srcRect l="9754"/>
                    <a:stretch/>
                  </pic:blipFill>
                  <pic:spPr bwMode="auto">
                    <a:xfrm>
                      <a:off x="0" y="0"/>
                      <a:ext cx="1561362" cy="1135300"/>
                    </a:xfrm>
                    <a:prstGeom prst="rect">
                      <a:avLst/>
                    </a:prstGeom>
                    <a:noFill/>
                    <a:ln>
                      <a:noFill/>
                    </a:ln>
                    <a:extLst>
                      <a:ext uri="{53640926-AAD7-44d8-BBD7-CCE9431645EC}">
                        <a14:shadowObscured xmlns:a14="http://schemas.microsoft.com/office/drawing/2010/main"/>
                      </a:ext>
                    </a:extLst>
                  </pic:spPr>
                </pic:pic>
              </a:graphicData>
            </a:graphic>
          </wp:inline>
        </w:drawing>
      </w:r>
    </w:p>
    <w:p w:rsidR="00E01A3B" w:rsidRPr="00A66BD5" w:rsidRDefault="00E01A3B" w:rsidP="00E01A3B">
      <w:pPr>
        <w:spacing w:after="0" w:line="240" w:lineRule="auto"/>
        <w:jc w:val="both"/>
        <w:rPr>
          <w:rFonts w:eastAsia="Times New Roman" w:cs="Arial"/>
          <w:b/>
          <w:color w:val="000000" w:themeColor="text1"/>
          <w:sz w:val="24"/>
          <w:szCs w:val="24"/>
          <w:lang w:eastAsia="x-none"/>
        </w:rPr>
      </w:pPr>
      <w:r w:rsidRPr="00A66BD5">
        <w:rPr>
          <w:rFonts w:eastAsia="Times New Roman" w:cs="Arial"/>
          <w:b/>
          <w:color w:val="000000" w:themeColor="text1"/>
          <w:sz w:val="24"/>
          <w:szCs w:val="24"/>
          <w:lang w:val="x-none" w:eastAsia="x-none"/>
        </w:rPr>
        <w:t>Ellen Hughes-Cromwick</w:t>
      </w:r>
    </w:p>
    <w:p w:rsidR="00E01A3B" w:rsidRDefault="00E01A3B" w:rsidP="00E01A3B">
      <w:pPr>
        <w:spacing w:after="0" w:line="240" w:lineRule="auto"/>
        <w:jc w:val="both"/>
        <w:rPr>
          <w:rFonts w:eastAsia="Times New Roman" w:cs="Arial"/>
          <w:color w:val="000000" w:themeColor="text1"/>
          <w:sz w:val="24"/>
          <w:szCs w:val="24"/>
          <w:lang w:eastAsia="x-none"/>
        </w:rPr>
      </w:pPr>
      <w:r>
        <w:rPr>
          <w:rFonts w:eastAsia="Times New Roman" w:cs="Arial"/>
          <w:color w:val="000000" w:themeColor="text1"/>
          <w:sz w:val="24"/>
          <w:szCs w:val="24"/>
          <w:lang w:eastAsia="x-none"/>
        </w:rPr>
        <w:t>Director and Chief Economist</w:t>
      </w:r>
    </w:p>
    <w:p w:rsidR="00E01A3B" w:rsidRDefault="00E01A3B" w:rsidP="00E01A3B">
      <w:pPr>
        <w:spacing w:after="0" w:line="240" w:lineRule="auto"/>
        <w:jc w:val="both"/>
        <w:rPr>
          <w:rFonts w:eastAsia="Times New Roman" w:cs="Arial"/>
          <w:color w:val="000000" w:themeColor="text1"/>
          <w:sz w:val="24"/>
          <w:szCs w:val="24"/>
          <w:lang w:eastAsia="x-none"/>
        </w:rPr>
      </w:pPr>
      <w:r>
        <w:rPr>
          <w:rFonts w:eastAsia="Times New Roman" w:cs="Arial"/>
          <w:color w:val="000000" w:themeColor="text1"/>
          <w:sz w:val="24"/>
          <w:szCs w:val="24"/>
          <w:lang w:eastAsia="x-none"/>
        </w:rPr>
        <w:t>Corporate Economics and Strategic Issues</w:t>
      </w:r>
    </w:p>
    <w:p w:rsidR="00E01A3B" w:rsidRPr="00A66BD5" w:rsidRDefault="00E01A3B" w:rsidP="00E01A3B">
      <w:pPr>
        <w:spacing w:after="0" w:line="240" w:lineRule="auto"/>
        <w:jc w:val="both"/>
        <w:rPr>
          <w:rFonts w:eastAsia="Times New Roman" w:cs="Arial"/>
          <w:color w:val="000000" w:themeColor="text1"/>
          <w:sz w:val="24"/>
          <w:szCs w:val="24"/>
          <w:lang w:eastAsia="x-none"/>
        </w:rPr>
      </w:pPr>
      <w:r w:rsidRPr="00A66BD5">
        <w:rPr>
          <w:rFonts w:eastAsia="Times New Roman" w:cs="Arial"/>
          <w:color w:val="000000" w:themeColor="text1"/>
          <w:sz w:val="24"/>
          <w:szCs w:val="24"/>
          <w:lang w:val="x-none" w:eastAsia="x-none"/>
        </w:rPr>
        <w:t>Ford Motor Company</w:t>
      </w:r>
    </w:p>
    <w:p w:rsidR="00E01A3B" w:rsidRPr="00A66BD5" w:rsidRDefault="00E01A3B" w:rsidP="00E01A3B">
      <w:pPr>
        <w:spacing w:after="0" w:line="240" w:lineRule="auto"/>
        <w:jc w:val="both"/>
        <w:rPr>
          <w:rFonts w:eastAsia="Times New Roman" w:cs="Arial"/>
          <w:color w:val="000000" w:themeColor="text1"/>
          <w:sz w:val="24"/>
          <w:szCs w:val="24"/>
          <w:lang w:eastAsia="x-none"/>
        </w:rPr>
      </w:pPr>
      <w:r w:rsidRPr="00A66BD5">
        <w:rPr>
          <w:rFonts w:eastAsia="Times New Roman" w:cs="Arial"/>
          <w:color w:val="000000" w:themeColor="text1"/>
          <w:sz w:val="24"/>
          <w:szCs w:val="24"/>
          <w:lang w:eastAsia="x-none"/>
        </w:rPr>
        <w:t>One American Road</w:t>
      </w:r>
    </w:p>
    <w:p w:rsidR="00E01A3B" w:rsidRPr="00A66BD5" w:rsidRDefault="00E01A3B" w:rsidP="00E01A3B">
      <w:pPr>
        <w:spacing w:after="0" w:line="240" w:lineRule="auto"/>
        <w:jc w:val="both"/>
        <w:rPr>
          <w:rFonts w:eastAsia="Times New Roman" w:cs="Arial"/>
          <w:color w:val="000000" w:themeColor="text1"/>
          <w:sz w:val="24"/>
          <w:szCs w:val="24"/>
          <w:lang w:eastAsia="x-none"/>
        </w:rPr>
      </w:pPr>
      <w:r w:rsidRPr="00A66BD5">
        <w:rPr>
          <w:rFonts w:eastAsia="Times New Roman" w:cs="Arial"/>
          <w:color w:val="000000" w:themeColor="text1"/>
          <w:sz w:val="24"/>
          <w:szCs w:val="24"/>
          <w:lang w:eastAsia="x-none"/>
        </w:rPr>
        <w:t>Dearborn, MI 48126</w:t>
      </w:r>
    </w:p>
    <w:p w:rsidR="00E01A3B" w:rsidRDefault="00E01A3B" w:rsidP="00E01A3B">
      <w:pPr>
        <w:spacing w:after="0" w:line="240" w:lineRule="auto"/>
        <w:jc w:val="both"/>
        <w:rPr>
          <w:rFonts w:eastAsia="Times New Roman" w:cs="Arial"/>
          <w:color w:val="000000" w:themeColor="text1"/>
          <w:sz w:val="24"/>
          <w:szCs w:val="24"/>
          <w:lang w:eastAsia="x-none"/>
        </w:rPr>
      </w:pPr>
    </w:p>
    <w:p w:rsidR="00E01A3B" w:rsidRDefault="00E01A3B" w:rsidP="00E01A3B">
      <w:pPr>
        <w:spacing w:after="0" w:line="240" w:lineRule="auto"/>
        <w:jc w:val="both"/>
        <w:rPr>
          <w:rFonts w:eastAsia="Times New Roman" w:cs="Arial"/>
          <w:b/>
          <w:color w:val="000000" w:themeColor="text1"/>
          <w:sz w:val="24"/>
          <w:szCs w:val="24"/>
          <w:lang w:val="x-none" w:eastAsia="x-none"/>
        </w:rPr>
      </w:pPr>
    </w:p>
    <w:p w:rsidR="00E01A3B" w:rsidRDefault="00E01A3B" w:rsidP="00E01A3B">
      <w:pPr>
        <w:spacing w:after="0" w:line="240" w:lineRule="auto"/>
        <w:jc w:val="both"/>
        <w:rPr>
          <w:rFonts w:eastAsia="Times New Roman" w:cs="Arial"/>
          <w:b/>
          <w:color w:val="000000" w:themeColor="text1"/>
          <w:sz w:val="24"/>
          <w:szCs w:val="24"/>
          <w:lang w:val="x-none" w:eastAsia="x-none"/>
        </w:rPr>
      </w:pPr>
    </w:p>
    <w:p w:rsidR="00E01A3B" w:rsidRDefault="00E01A3B" w:rsidP="00E01A3B">
      <w:pPr>
        <w:spacing w:after="0" w:line="240" w:lineRule="auto"/>
        <w:jc w:val="both"/>
        <w:rPr>
          <w:rFonts w:eastAsia="Times New Roman" w:cs="Arial"/>
          <w:b/>
          <w:color w:val="000000" w:themeColor="text1"/>
          <w:sz w:val="24"/>
          <w:szCs w:val="24"/>
          <w:lang w:val="x-none" w:eastAsia="x-none"/>
        </w:rPr>
      </w:pPr>
      <w:r w:rsidRPr="00A66BD5">
        <w:rPr>
          <w:rFonts w:cs="Arial"/>
          <w:noProof/>
          <w:sz w:val="24"/>
          <w:szCs w:val="24"/>
        </w:rPr>
        <w:drawing>
          <wp:anchor distT="0" distB="0" distL="114300" distR="114300" simplePos="0" relativeHeight="251662336" behindDoc="0" locked="0" layoutInCell="1" allowOverlap="1" wp14:anchorId="7AFD7425" wp14:editId="685DA527">
            <wp:simplePos x="0" y="0"/>
            <wp:positionH relativeFrom="column">
              <wp:posOffset>0</wp:posOffset>
            </wp:positionH>
            <wp:positionV relativeFrom="paragraph">
              <wp:posOffset>19050</wp:posOffset>
            </wp:positionV>
            <wp:extent cx="1463040" cy="420370"/>
            <wp:effectExtent l="0" t="0" r="10160" b="1143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_color.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63040" cy="420370"/>
                    </a:xfrm>
                    <a:prstGeom prst="rect">
                      <a:avLst/>
                    </a:prstGeom>
                  </pic:spPr>
                </pic:pic>
              </a:graphicData>
            </a:graphic>
            <wp14:sizeRelH relativeFrom="page">
              <wp14:pctWidth>0</wp14:pctWidth>
            </wp14:sizeRelH>
            <wp14:sizeRelV relativeFrom="page">
              <wp14:pctHeight>0</wp14:pctHeight>
            </wp14:sizeRelV>
          </wp:anchor>
        </w:drawing>
      </w:r>
    </w:p>
    <w:p w:rsidR="00E01A3B" w:rsidRDefault="00E01A3B" w:rsidP="00E01A3B">
      <w:pPr>
        <w:spacing w:after="0" w:line="240" w:lineRule="auto"/>
        <w:jc w:val="both"/>
        <w:rPr>
          <w:rFonts w:eastAsia="Times New Roman" w:cs="Arial"/>
          <w:b/>
          <w:color w:val="000000" w:themeColor="text1"/>
          <w:sz w:val="24"/>
          <w:szCs w:val="24"/>
          <w:lang w:val="x-none" w:eastAsia="x-none"/>
        </w:rPr>
      </w:pPr>
    </w:p>
    <w:p w:rsidR="00E01A3B" w:rsidRDefault="00E01A3B" w:rsidP="00E01A3B">
      <w:pPr>
        <w:spacing w:after="0" w:line="240" w:lineRule="auto"/>
        <w:jc w:val="both"/>
        <w:rPr>
          <w:rFonts w:eastAsia="Times New Roman" w:cs="Arial"/>
          <w:b/>
          <w:color w:val="000000" w:themeColor="text1"/>
          <w:sz w:val="24"/>
          <w:szCs w:val="24"/>
          <w:lang w:val="x-none" w:eastAsia="x-none"/>
        </w:rPr>
      </w:pPr>
    </w:p>
    <w:p w:rsidR="00E01A3B" w:rsidRDefault="00E01A3B" w:rsidP="00E01A3B">
      <w:pPr>
        <w:spacing w:after="0" w:line="240" w:lineRule="auto"/>
        <w:jc w:val="both"/>
        <w:rPr>
          <w:rFonts w:eastAsia="Times New Roman" w:cs="Arial"/>
          <w:b/>
          <w:color w:val="000000" w:themeColor="text1"/>
          <w:sz w:val="24"/>
          <w:szCs w:val="24"/>
          <w:lang w:val="x-none" w:eastAsia="x-none"/>
        </w:rPr>
      </w:pPr>
    </w:p>
    <w:p w:rsidR="00E01A3B" w:rsidRPr="00A66BD5" w:rsidRDefault="00E01A3B" w:rsidP="00E01A3B">
      <w:pPr>
        <w:spacing w:after="0" w:line="240" w:lineRule="auto"/>
        <w:jc w:val="both"/>
        <w:rPr>
          <w:rFonts w:eastAsia="Times New Roman" w:cs="Arial"/>
          <w:b/>
          <w:color w:val="000000" w:themeColor="text1"/>
          <w:sz w:val="24"/>
          <w:szCs w:val="24"/>
          <w:lang w:val="x-none" w:eastAsia="x-none"/>
        </w:rPr>
      </w:pPr>
      <w:r w:rsidRPr="00A66BD5">
        <w:rPr>
          <w:rFonts w:eastAsia="Times New Roman" w:cs="Arial"/>
          <w:b/>
          <w:color w:val="000000" w:themeColor="text1"/>
          <w:sz w:val="24"/>
          <w:szCs w:val="24"/>
          <w:lang w:val="x-none" w:eastAsia="x-none"/>
        </w:rPr>
        <w:t xml:space="preserve">Joshua Cregger </w:t>
      </w:r>
    </w:p>
    <w:p w:rsidR="00E01A3B" w:rsidRDefault="00E01A3B" w:rsidP="00E01A3B">
      <w:pPr>
        <w:spacing w:after="0" w:line="240" w:lineRule="auto"/>
        <w:jc w:val="both"/>
        <w:rPr>
          <w:rFonts w:eastAsia="Times New Roman" w:cs="Arial"/>
          <w:color w:val="000000" w:themeColor="text1"/>
          <w:sz w:val="24"/>
          <w:szCs w:val="24"/>
          <w:lang w:eastAsia="x-none"/>
        </w:rPr>
      </w:pPr>
      <w:r>
        <w:rPr>
          <w:rFonts w:eastAsia="Times New Roman" w:cs="Arial"/>
          <w:color w:val="000000" w:themeColor="text1"/>
          <w:sz w:val="24"/>
          <w:szCs w:val="24"/>
          <w:lang w:eastAsia="x-none"/>
        </w:rPr>
        <w:t>Project Manager</w:t>
      </w:r>
    </w:p>
    <w:p w:rsidR="00E01A3B" w:rsidRPr="00A66BD5" w:rsidRDefault="00E01A3B" w:rsidP="00E01A3B">
      <w:pPr>
        <w:spacing w:after="0" w:line="240" w:lineRule="auto"/>
        <w:jc w:val="both"/>
        <w:rPr>
          <w:rFonts w:eastAsia="Times New Roman" w:cs="Arial"/>
          <w:color w:val="000000" w:themeColor="text1"/>
          <w:sz w:val="24"/>
          <w:szCs w:val="24"/>
          <w:lang w:val="x-none" w:eastAsia="x-none"/>
        </w:rPr>
      </w:pPr>
      <w:r w:rsidRPr="00A66BD5">
        <w:rPr>
          <w:rFonts w:eastAsia="Times New Roman" w:cs="Arial"/>
          <w:color w:val="000000" w:themeColor="text1"/>
          <w:sz w:val="24"/>
          <w:szCs w:val="24"/>
          <w:lang w:val="x-none" w:eastAsia="x-none"/>
        </w:rPr>
        <w:t>Center for Automotive Research</w:t>
      </w:r>
    </w:p>
    <w:p w:rsidR="00E01A3B" w:rsidRPr="00A66BD5" w:rsidRDefault="00E01A3B" w:rsidP="00E01A3B">
      <w:pPr>
        <w:pStyle w:val="PlainText"/>
        <w:spacing w:after="0" w:line="240" w:lineRule="auto"/>
        <w:jc w:val="both"/>
        <w:rPr>
          <w:rFonts w:asciiTheme="minorHAnsi" w:hAnsiTheme="minorHAnsi" w:cs="Arial"/>
          <w:color w:val="000000" w:themeColor="text1"/>
          <w:sz w:val="24"/>
          <w:szCs w:val="24"/>
        </w:rPr>
      </w:pPr>
      <w:r w:rsidRPr="00A66BD5">
        <w:rPr>
          <w:rFonts w:asciiTheme="minorHAnsi" w:hAnsiTheme="minorHAnsi" w:cs="Arial"/>
          <w:color w:val="000000" w:themeColor="text1"/>
          <w:sz w:val="24"/>
          <w:szCs w:val="24"/>
        </w:rPr>
        <w:t>3005 Boardwalk, Suite 200</w:t>
      </w:r>
    </w:p>
    <w:p w:rsidR="00E01A3B" w:rsidRPr="00A66BD5" w:rsidRDefault="00E01A3B" w:rsidP="00E01A3B">
      <w:pPr>
        <w:pStyle w:val="PlainText"/>
        <w:spacing w:after="0" w:line="240" w:lineRule="auto"/>
        <w:jc w:val="both"/>
        <w:rPr>
          <w:rFonts w:asciiTheme="minorHAnsi" w:hAnsiTheme="minorHAnsi" w:cs="Arial"/>
          <w:color w:val="000000" w:themeColor="text1"/>
          <w:sz w:val="24"/>
          <w:szCs w:val="24"/>
        </w:rPr>
      </w:pPr>
      <w:r w:rsidRPr="00A66BD5">
        <w:rPr>
          <w:rFonts w:asciiTheme="minorHAnsi" w:hAnsiTheme="minorHAnsi" w:cs="Arial"/>
          <w:color w:val="000000" w:themeColor="text1"/>
          <w:sz w:val="24"/>
          <w:szCs w:val="24"/>
        </w:rPr>
        <w:t>Ann Arbor, MI 48108</w:t>
      </w:r>
    </w:p>
    <w:p w:rsidR="00E01A3B" w:rsidRDefault="00E01A3B" w:rsidP="00E01A3B">
      <w:pPr>
        <w:spacing w:after="0" w:line="240" w:lineRule="auto"/>
        <w:jc w:val="both"/>
        <w:rPr>
          <w:rFonts w:ascii="Arial" w:hAnsi="Arial" w:cs="Arial"/>
          <w:sz w:val="24"/>
          <w:szCs w:val="24"/>
        </w:rPr>
        <w:sectPr w:rsidR="00E01A3B" w:rsidSect="00E01A3B">
          <w:type w:val="continuous"/>
          <w:pgSz w:w="12240" w:h="15840" w:code="1"/>
          <w:pgMar w:top="1440" w:right="1440" w:bottom="1440" w:left="1440" w:header="720" w:footer="720" w:gutter="0"/>
          <w:pgNumType w:start="1"/>
          <w:cols w:num="2" w:space="720"/>
          <w:vAlign w:val="center"/>
        </w:sectPr>
      </w:pPr>
    </w:p>
    <w:p w:rsidR="00E01A3B" w:rsidRDefault="00E01A3B" w:rsidP="00E01A3B">
      <w:pPr>
        <w:pStyle w:val="PlainText"/>
        <w:spacing w:after="0" w:line="240" w:lineRule="auto"/>
        <w:jc w:val="right"/>
        <w:rPr>
          <w:rFonts w:asciiTheme="majorHAnsi" w:eastAsiaTheme="minorEastAsia" w:hAnsiTheme="majorHAnsi" w:cs="Arial"/>
          <w:color w:val="1F497D"/>
          <w:sz w:val="24"/>
          <w:szCs w:val="24"/>
          <w:lang w:val="en-US" w:eastAsia="en-US"/>
        </w:rPr>
      </w:pPr>
    </w:p>
    <w:p w:rsidR="00E01A3B" w:rsidRDefault="00E01A3B" w:rsidP="00E01A3B">
      <w:pPr>
        <w:pStyle w:val="PlainText"/>
        <w:spacing w:after="0" w:line="240" w:lineRule="auto"/>
        <w:jc w:val="right"/>
        <w:rPr>
          <w:rFonts w:asciiTheme="majorHAnsi" w:eastAsiaTheme="minorEastAsia" w:hAnsiTheme="majorHAnsi" w:cs="Arial"/>
          <w:color w:val="1F497D"/>
          <w:sz w:val="24"/>
          <w:szCs w:val="24"/>
          <w:lang w:val="en-US" w:eastAsia="en-US"/>
        </w:rPr>
      </w:pPr>
    </w:p>
    <w:p w:rsidR="00E01A3B" w:rsidRDefault="00E01A3B" w:rsidP="00E01A3B">
      <w:pPr>
        <w:pStyle w:val="PlainText"/>
        <w:spacing w:after="0" w:line="240" w:lineRule="auto"/>
        <w:jc w:val="right"/>
        <w:rPr>
          <w:rFonts w:asciiTheme="majorHAnsi" w:eastAsiaTheme="minorEastAsia" w:hAnsiTheme="majorHAnsi" w:cs="Arial"/>
          <w:color w:val="1F497D"/>
          <w:sz w:val="24"/>
          <w:szCs w:val="24"/>
          <w:lang w:val="en-US" w:eastAsia="en-US"/>
        </w:rPr>
      </w:pPr>
    </w:p>
    <w:p w:rsidR="00E01A3B" w:rsidRPr="00A845BC" w:rsidRDefault="00E01A3B" w:rsidP="00E01A3B">
      <w:pPr>
        <w:pStyle w:val="PlainText"/>
        <w:spacing w:after="0" w:line="240" w:lineRule="auto"/>
        <w:jc w:val="right"/>
        <w:rPr>
          <w:rFonts w:asciiTheme="majorHAnsi" w:eastAsiaTheme="minorEastAsia" w:hAnsiTheme="majorHAnsi" w:cs="Arial"/>
          <w:color w:val="1F497D"/>
          <w:sz w:val="24"/>
          <w:szCs w:val="24"/>
          <w:lang w:val="en-US" w:eastAsia="en-US"/>
        </w:rPr>
      </w:pPr>
      <w:bookmarkStart w:id="0" w:name="_GoBack"/>
      <w:bookmarkEnd w:id="0"/>
      <w:r w:rsidRPr="00A845BC">
        <w:rPr>
          <w:rFonts w:asciiTheme="majorHAnsi" w:eastAsiaTheme="minorEastAsia" w:hAnsiTheme="majorHAnsi" w:cs="Arial"/>
          <w:color w:val="1F497D"/>
          <w:sz w:val="24"/>
          <w:szCs w:val="24"/>
          <w:lang w:val="en-US" w:eastAsia="en-US"/>
        </w:rPr>
        <w:t>April 9, 2013</w:t>
      </w:r>
    </w:p>
    <w:p w:rsidR="00973DBF" w:rsidRDefault="00973DBF" w:rsidP="00252FBF">
      <w:pPr>
        <w:pStyle w:val="PlainText"/>
        <w:spacing w:after="0" w:line="240" w:lineRule="auto"/>
        <w:rPr>
          <w:rFonts w:ascii="Arial" w:hAnsi="Arial" w:cs="Arial"/>
          <w:bCs/>
          <w:sz w:val="24"/>
          <w:szCs w:val="24"/>
          <w:lang w:val="en-US"/>
        </w:rPr>
      </w:pPr>
    </w:p>
    <w:p w:rsidR="00252FBF" w:rsidRPr="008720F3" w:rsidRDefault="00252FBF" w:rsidP="00252FBF">
      <w:pPr>
        <w:pStyle w:val="PlainText"/>
        <w:spacing w:after="0" w:line="240" w:lineRule="auto"/>
        <w:rPr>
          <w:rFonts w:asciiTheme="minorHAnsi" w:hAnsiTheme="minorHAnsi" w:cs="Arial"/>
          <w:bCs/>
          <w:szCs w:val="24"/>
        </w:rPr>
      </w:pPr>
      <w:r w:rsidRPr="008720F3">
        <w:rPr>
          <w:rFonts w:asciiTheme="minorHAnsi" w:hAnsiTheme="minorHAnsi" w:cs="Arial"/>
          <w:bCs/>
          <w:szCs w:val="24"/>
        </w:rPr>
        <w:t xml:space="preserve">All statements, findings, and conclusions in this report are those of the authors and do not necessarily reflect those of </w:t>
      </w:r>
      <w:r w:rsidR="00054F54" w:rsidRPr="008720F3">
        <w:rPr>
          <w:rFonts w:asciiTheme="minorHAnsi" w:hAnsiTheme="minorHAnsi" w:cs="Arial"/>
          <w:bCs/>
          <w:szCs w:val="24"/>
          <w:lang w:val="en-US"/>
        </w:rPr>
        <w:t>the Global Interdependence Center</w:t>
      </w:r>
      <w:r w:rsidR="00625247">
        <w:rPr>
          <w:rFonts w:asciiTheme="minorHAnsi" w:hAnsiTheme="minorHAnsi" w:cs="Arial"/>
          <w:bCs/>
          <w:szCs w:val="24"/>
          <w:lang w:val="en-US"/>
        </w:rPr>
        <w:t>, Ford Motor Company, or the Center for Automotive Research</w:t>
      </w:r>
      <w:r w:rsidRPr="008720F3">
        <w:rPr>
          <w:rFonts w:asciiTheme="minorHAnsi" w:hAnsiTheme="minorHAnsi" w:cs="Arial"/>
          <w:bCs/>
          <w:szCs w:val="24"/>
        </w:rPr>
        <w:t>.</w:t>
      </w:r>
    </w:p>
    <w:p w:rsidR="00252FBF" w:rsidRPr="008720F3" w:rsidRDefault="00252FBF" w:rsidP="00252FBF">
      <w:pPr>
        <w:spacing w:after="0" w:line="240" w:lineRule="auto"/>
        <w:jc w:val="both"/>
        <w:rPr>
          <w:rFonts w:cstheme="minorHAnsi"/>
          <w:b/>
          <w:sz w:val="40"/>
          <w:szCs w:val="32"/>
        </w:rPr>
        <w:sectPr w:rsidR="00252FBF" w:rsidRPr="008720F3" w:rsidSect="00E01A3B">
          <w:footerReference w:type="even" r:id="rId15"/>
          <w:footerReference w:type="default" r:id="rId16"/>
          <w:headerReference w:type="first" r:id="rId17"/>
          <w:type w:val="continuous"/>
          <w:pgSz w:w="12240" w:h="15840" w:code="1"/>
          <w:pgMar w:top="1440" w:right="1440" w:bottom="1440" w:left="1440" w:header="720" w:footer="720" w:gutter="0"/>
          <w:pgNumType w:start="1"/>
          <w:cols w:space="720"/>
          <w:vAlign w:val="center"/>
        </w:sectPr>
      </w:pPr>
    </w:p>
    <w:p w:rsidR="00252FBF" w:rsidRPr="00F25572" w:rsidRDefault="00252FBF" w:rsidP="00252FBF">
      <w:pPr>
        <w:pStyle w:val="PlainText"/>
        <w:spacing w:after="0" w:line="240" w:lineRule="auto"/>
        <w:jc w:val="both"/>
        <w:rPr>
          <w:rFonts w:asciiTheme="minorHAnsi" w:hAnsiTheme="minorHAnsi" w:cstheme="minorHAnsi"/>
          <w:b/>
          <w:sz w:val="24"/>
          <w:szCs w:val="24"/>
        </w:rPr>
      </w:pPr>
    </w:p>
    <w:p w:rsidR="00252FBF" w:rsidRPr="00F25572" w:rsidRDefault="00252FBF" w:rsidP="00252FBF">
      <w:pPr>
        <w:pStyle w:val="PlainText"/>
        <w:spacing w:after="0" w:line="240" w:lineRule="auto"/>
        <w:jc w:val="both"/>
        <w:rPr>
          <w:rFonts w:asciiTheme="minorHAnsi" w:hAnsiTheme="minorHAnsi" w:cstheme="minorHAnsi"/>
          <w:bCs/>
          <w:sz w:val="24"/>
          <w:szCs w:val="24"/>
        </w:rPr>
        <w:sectPr w:rsidR="00252FBF" w:rsidRPr="00F25572" w:rsidSect="00973DBF">
          <w:pgSz w:w="12240" w:h="15840" w:code="1"/>
          <w:pgMar w:top="1440" w:right="1440" w:bottom="1440" w:left="1440" w:header="720" w:footer="720" w:gutter="0"/>
          <w:pgNumType w:start="1"/>
          <w:cols w:space="720"/>
        </w:sectPr>
      </w:pPr>
    </w:p>
    <w:bookmarkStart w:id="1" w:name="_Toc192836991" w:displacedByCustomXml="next"/>
    <w:sdt>
      <w:sdtPr>
        <w:rPr>
          <w:rFonts w:asciiTheme="minorHAnsi" w:eastAsia="Times New Roman" w:hAnsiTheme="minorHAnsi" w:cs="Times New Roman"/>
          <w:b w:val="0"/>
          <w:bCs w:val="0"/>
          <w:caps w:val="0"/>
          <w:color w:val="auto"/>
          <w:sz w:val="22"/>
          <w:szCs w:val="20"/>
          <w:lang w:eastAsia="en-US"/>
        </w:rPr>
        <w:id w:val="1791013808"/>
        <w:docPartObj>
          <w:docPartGallery w:val="Table of Contents"/>
          <w:docPartUnique/>
        </w:docPartObj>
      </w:sdtPr>
      <w:sdtEndPr>
        <w:rPr>
          <w:rFonts w:eastAsiaTheme="minorEastAsia" w:cstheme="minorBidi"/>
          <w:noProof/>
          <w:szCs w:val="22"/>
        </w:rPr>
      </w:sdtEndPr>
      <w:sdtContent>
        <w:p w:rsidR="00252FBF" w:rsidRPr="008720F3" w:rsidRDefault="00973DBF" w:rsidP="0068532B">
          <w:pPr>
            <w:pStyle w:val="TOCHeading"/>
          </w:pPr>
          <w:r w:rsidRPr="008720F3">
            <w:t>TABLE OF CONTENTS</w:t>
          </w:r>
        </w:p>
        <w:p w:rsidR="002A2ABB" w:rsidRDefault="00252FBF">
          <w:pPr>
            <w:pStyle w:val="TOC1"/>
            <w:rPr>
              <w:rFonts w:eastAsiaTheme="minorEastAsia" w:cstheme="minorBidi"/>
              <w:bCs w:val="0"/>
              <w:sz w:val="22"/>
              <w:szCs w:val="22"/>
            </w:rPr>
          </w:pPr>
          <w:r w:rsidRPr="002F6472">
            <w:rPr>
              <w:sz w:val="22"/>
              <w:szCs w:val="22"/>
            </w:rPr>
            <w:fldChar w:fldCharType="begin"/>
          </w:r>
          <w:r w:rsidRPr="002F6472">
            <w:rPr>
              <w:sz w:val="22"/>
              <w:szCs w:val="22"/>
            </w:rPr>
            <w:instrText xml:space="preserve"> TOC \o "1-3" \h \z \u </w:instrText>
          </w:r>
          <w:r w:rsidRPr="002F6472">
            <w:rPr>
              <w:sz w:val="22"/>
              <w:szCs w:val="22"/>
            </w:rPr>
            <w:fldChar w:fldCharType="separate"/>
          </w:r>
          <w:hyperlink w:anchor="_Toc352854161" w:history="1">
            <w:r w:rsidR="002A2ABB" w:rsidRPr="00227AFD">
              <w:rPr>
                <w:rStyle w:val="Hyperlink"/>
              </w:rPr>
              <w:t>Acknowledgements</w:t>
            </w:r>
            <w:r w:rsidR="002A2ABB">
              <w:rPr>
                <w:webHidden/>
              </w:rPr>
              <w:tab/>
            </w:r>
            <w:r w:rsidR="002A2ABB">
              <w:rPr>
                <w:webHidden/>
              </w:rPr>
              <w:fldChar w:fldCharType="begin"/>
            </w:r>
            <w:r w:rsidR="002A2ABB">
              <w:rPr>
                <w:webHidden/>
              </w:rPr>
              <w:instrText xml:space="preserve"> PAGEREF _Toc352854161 \h </w:instrText>
            </w:r>
            <w:r w:rsidR="002A2ABB">
              <w:rPr>
                <w:webHidden/>
              </w:rPr>
            </w:r>
            <w:r w:rsidR="002A2ABB">
              <w:rPr>
                <w:webHidden/>
              </w:rPr>
              <w:fldChar w:fldCharType="separate"/>
            </w:r>
            <w:r w:rsidR="00E01A3B">
              <w:rPr>
                <w:webHidden/>
              </w:rPr>
              <w:t>iv</w:t>
            </w:r>
            <w:r w:rsidR="002A2ABB">
              <w:rPr>
                <w:webHidden/>
              </w:rPr>
              <w:fldChar w:fldCharType="end"/>
            </w:r>
          </w:hyperlink>
        </w:p>
        <w:p w:rsidR="002A2ABB" w:rsidRDefault="00E01A3B">
          <w:pPr>
            <w:pStyle w:val="TOC1"/>
            <w:rPr>
              <w:rFonts w:eastAsiaTheme="minorEastAsia" w:cstheme="minorBidi"/>
              <w:bCs w:val="0"/>
              <w:sz w:val="22"/>
              <w:szCs w:val="22"/>
            </w:rPr>
          </w:pPr>
          <w:hyperlink w:anchor="_Toc352854162" w:history="1">
            <w:r w:rsidR="002A2ABB" w:rsidRPr="00227AFD">
              <w:rPr>
                <w:rStyle w:val="Hyperlink"/>
              </w:rPr>
              <w:t>ABSTRACT</w:t>
            </w:r>
            <w:r w:rsidR="002A2ABB">
              <w:rPr>
                <w:webHidden/>
              </w:rPr>
              <w:tab/>
            </w:r>
            <w:r w:rsidR="002A2ABB">
              <w:rPr>
                <w:webHidden/>
              </w:rPr>
              <w:fldChar w:fldCharType="begin"/>
            </w:r>
            <w:r w:rsidR="002A2ABB">
              <w:rPr>
                <w:webHidden/>
              </w:rPr>
              <w:instrText xml:space="preserve"> PAGEREF _Toc352854162 \h </w:instrText>
            </w:r>
            <w:r w:rsidR="002A2ABB">
              <w:rPr>
                <w:webHidden/>
              </w:rPr>
            </w:r>
            <w:r w:rsidR="002A2ABB">
              <w:rPr>
                <w:webHidden/>
              </w:rPr>
              <w:fldChar w:fldCharType="separate"/>
            </w:r>
            <w:r>
              <w:rPr>
                <w:webHidden/>
              </w:rPr>
              <w:t>1</w:t>
            </w:r>
            <w:r w:rsidR="002A2ABB">
              <w:rPr>
                <w:webHidden/>
              </w:rPr>
              <w:fldChar w:fldCharType="end"/>
            </w:r>
          </w:hyperlink>
        </w:p>
        <w:p w:rsidR="002A2ABB" w:rsidRDefault="00E01A3B">
          <w:pPr>
            <w:pStyle w:val="TOC1"/>
            <w:rPr>
              <w:rFonts w:eastAsiaTheme="minorEastAsia" w:cstheme="minorBidi"/>
              <w:bCs w:val="0"/>
              <w:sz w:val="22"/>
              <w:szCs w:val="22"/>
            </w:rPr>
          </w:pPr>
          <w:hyperlink w:anchor="_Toc352854163" w:history="1">
            <w:r w:rsidR="002A2ABB" w:rsidRPr="00227AFD">
              <w:rPr>
                <w:rStyle w:val="Hyperlink"/>
              </w:rPr>
              <w:t>INTRODUCTION</w:t>
            </w:r>
            <w:r w:rsidR="002A2ABB">
              <w:rPr>
                <w:webHidden/>
              </w:rPr>
              <w:tab/>
            </w:r>
            <w:r w:rsidR="002A2ABB">
              <w:rPr>
                <w:webHidden/>
              </w:rPr>
              <w:fldChar w:fldCharType="begin"/>
            </w:r>
            <w:r w:rsidR="002A2ABB">
              <w:rPr>
                <w:webHidden/>
              </w:rPr>
              <w:instrText xml:space="preserve"> PAGEREF _Toc352854163 \h </w:instrText>
            </w:r>
            <w:r w:rsidR="002A2ABB">
              <w:rPr>
                <w:webHidden/>
              </w:rPr>
            </w:r>
            <w:r w:rsidR="002A2ABB">
              <w:rPr>
                <w:webHidden/>
              </w:rPr>
              <w:fldChar w:fldCharType="separate"/>
            </w:r>
            <w:r>
              <w:rPr>
                <w:webHidden/>
              </w:rPr>
              <w:t>3</w:t>
            </w:r>
            <w:r w:rsidR="002A2ABB">
              <w:rPr>
                <w:webHidden/>
              </w:rPr>
              <w:fldChar w:fldCharType="end"/>
            </w:r>
          </w:hyperlink>
        </w:p>
        <w:p w:rsidR="002A2ABB" w:rsidRDefault="00E01A3B">
          <w:pPr>
            <w:pStyle w:val="TOC1"/>
            <w:rPr>
              <w:rFonts w:eastAsiaTheme="minorEastAsia" w:cstheme="minorBidi"/>
              <w:bCs w:val="0"/>
              <w:sz w:val="22"/>
              <w:szCs w:val="22"/>
            </w:rPr>
          </w:pPr>
          <w:hyperlink w:anchor="_Toc352854164" w:history="1">
            <w:r w:rsidR="002A2ABB" w:rsidRPr="00227AFD">
              <w:rPr>
                <w:rStyle w:val="Hyperlink"/>
              </w:rPr>
              <w:t>ALTERNATIVE FUELS</w:t>
            </w:r>
            <w:r w:rsidR="002A2ABB">
              <w:rPr>
                <w:webHidden/>
              </w:rPr>
              <w:tab/>
            </w:r>
            <w:r w:rsidR="002A2ABB">
              <w:rPr>
                <w:webHidden/>
              </w:rPr>
              <w:fldChar w:fldCharType="begin"/>
            </w:r>
            <w:r w:rsidR="002A2ABB">
              <w:rPr>
                <w:webHidden/>
              </w:rPr>
              <w:instrText xml:space="preserve"> PAGEREF _Toc352854164 \h </w:instrText>
            </w:r>
            <w:r w:rsidR="002A2ABB">
              <w:rPr>
                <w:webHidden/>
              </w:rPr>
            </w:r>
            <w:r w:rsidR="002A2ABB">
              <w:rPr>
                <w:webHidden/>
              </w:rPr>
              <w:fldChar w:fldCharType="separate"/>
            </w:r>
            <w:r>
              <w:rPr>
                <w:webHidden/>
              </w:rPr>
              <w:t>7</w:t>
            </w:r>
            <w:r w:rsidR="002A2ABB">
              <w:rPr>
                <w:webHidden/>
              </w:rPr>
              <w:fldChar w:fldCharType="end"/>
            </w:r>
          </w:hyperlink>
        </w:p>
        <w:p w:rsidR="002A2ABB" w:rsidRDefault="00E01A3B">
          <w:pPr>
            <w:pStyle w:val="TOC2"/>
            <w:tabs>
              <w:tab w:val="right" w:leader="dot" w:pos="9350"/>
            </w:tabs>
            <w:rPr>
              <w:rFonts w:eastAsiaTheme="minorEastAsia" w:cstheme="minorBidi"/>
              <w:smallCaps w:val="0"/>
              <w:noProof/>
              <w:sz w:val="22"/>
              <w:szCs w:val="22"/>
            </w:rPr>
          </w:pPr>
          <w:hyperlink w:anchor="_Toc352854165" w:history="1">
            <w:r w:rsidR="002A2ABB" w:rsidRPr="00227AFD">
              <w:rPr>
                <w:rStyle w:val="Hyperlink"/>
                <w:noProof/>
              </w:rPr>
              <w:t>Gasoline</w:t>
            </w:r>
            <w:r w:rsidR="002A2ABB">
              <w:rPr>
                <w:noProof/>
                <w:webHidden/>
              </w:rPr>
              <w:tab/>
            </w:r>
            <w:r w:rsidR="002A2ABB">
              <w:rPr>
                <w:noProof/>
                <w:webHidden/>
              </w:rPr>
              <w:fldChar w:fldCharType="begin"/>
            </w:r>
            <w:r w:rsidR="002A2ABB">
              <w:rPr>
                <w:noProof/>
                <w:webHidden/>
              </w:rPr>
              <w:instrText xml:space="preserve"> PAGEREF _Toc352854165 \h </w:instrText>
            </w:r>
            <w:r w:rsidR="002A2ABB">
              <w:rPr>
                <w:noProof/>
                <w:webHidden/>
              </w:rPr>
            </w:r>
            <w:r w:rsidR="002A2ABB">
              <w:rPr>
                <w:noProof/>
                <w:webHidden/>
              </w:rPr>
              <w:fldChar w:fldCharType="separate"/>
            </w:r>
            <w:r>
              <w:rPr>
                <w:noProof/>
                <w:webHidden/>
              </w:rPr>
              <w:t>8</w:t>
            </w:r>
            <w:r w:rsidR="002A2ABB">
              <w:rPr>
                <w:noProof/>
                <w:webHidden/>
              </w:rPr>
              <w:fldChar w:fldCharType="end"/>
            </w:r>
          </w:hyperlink>
        </w:p>
        <w:p w:rsidR="002A2ABB" w:rsidRDefault="00E01A3B">
          <w:pPr>
            <w:pStyle w:val="TOC2"/>
            <w:tabs>
              <w:tab w:val="right" w:leader="dot" w:pos="9350"/>
            </w:tabs>
            <w:rPr>
              <w:rFonts w:eastAsiaTheme="minorEastAsia" w:cstheme="minorBidi"/>
              <w:smallCaps w:val="0"/>
              <w:noProof/>
              <w:sz w:val="22"/>
              <w:szCs w:val="22"/>
            </w:rPr>
          </w:pPr>
          <w:hyperlink w:anchor="_Toc352854166" w:history="1">
            <w:r w:rsidR="002A2ABB" w:rsidRPr="00227AFD">
              <w:rPr>
                <w:rStyle w:val="Hyperlink"/>
                <w:noProof/>
              </w:rPr>
              <w:t>Diesel</w:t>
            </w:r>
            <w:r w:rsidR="002A2ABB">
              <w:rPr>
                <w:noProof/>
                <w:webHidden/>
              </w:rPr>
              <w:tab/>
            </w:r>
            <w:r w:rsidR="002A2ABB">
              <w:rPr>
                <w:noProof/>
                <w:webHidden/>
              </w:rPr>
              <w:fldChar w:fldCharType="begin"/>
            </w:r>
            <w:r w:rsidR="002A2ABB">
              <w:rPr>
                <w:noProof/>
                <w:webHidden/>
              </w:rPr>
              <w:instrText xml:space="preserve"> PAGEREF _Toc352854166 \h </w:instrText>
            </w:r>
            <w:r w:rsidR="002A2ABB">
              <w:rPr>
                <w:noProof/>
                <w:webHidden/>
              </w:rPr>
            </w:r>
            <w:r w:rsidR="002A2ABB">
              <w:rPr>
                <w:noProof/>
                <w:webHidden/>
              </w:rPr>
              <w:fldChar w:fldCharType="separate"/>
            </w:r>
            <w:r>
              <w:rPr>
                <w:noProof/>
                <w:webHidden/>
              </w:rPr>
              <w:t>8</w:t>
            </w:r>
            <w:r w:rsidR="002A2ABB">
              <w:rPr>
                <w:noProof/>
                <w:webHidden/>
              </w:rPr>
              <w:fldChar w:fldCharType="end"/>
            </w:r>
          </w:hyperlink>
        </w:p>
        <w:p w:rsidR="002A2ABB" w:rsidRDefault="00E01A3B">
          <w:pPr>
            <w:pStyle w:val="TOC2"/>
            <w:tabs>
              <w:tab w:val="right" w:leader="dot" w:pos="9350"/>
            </w:tabs>
            <w:rPr>
              <w:rFonts w:eastAsiaTheme="minorEastAsia" w:cstheme="minorBidi"/>
              <w:smallCaps w:val="0"/>
              <w:noProof/>
              <w:sz w:val="22"/>
              <w:szCs w:val="22"/>
            </w:rPr>
          </w:pPr>
          <w:hyperlink w:anchor="_Toc352854167" w:history="1">
            <w:r w:rsidR="002A2ABB" w:rsidRPr="00227AFD">
              <w:rPr>
                <w:rStyle w:val="Hyperlink"/>
                <w:noProof/>
              </w:rPr>
              <w:t>Natural Gas</w:t>
            </w:r>
            <w:r w:rsidR="002A2ABB">
              <w:rPr>
                <w:noProof/>
                <w:webHidden/>
              </w:rPr>
              <w:tab/>
            </w:r>
            <w:r w:rsidR="002A2ABB">
              <w:rPr>
                <w:noProof/>
                <w:webHidden/>
              </w:rPr>
              <w:fldChar w:fldCharType="begin"/>
            </w:r>
            <w:r w:rsidR="002A2ABB">
              <w:rPr>
                <w:noProof/>
                <w:webHidden/>
              </w:rPr>
              <w:instrText xml:space="preserve"> PAGEREF _Toc352854167 \h </w:instrText>
            </w:r>
            <w:r w:rsidR="002A2ABB">
              <w:rPr>
                <w:noProof/>
                <w:webHidden/>
              </w:rPr>
            </w:r>
            <w:r w:rsidR="002A2ABB">
              <w:rPr>
                <w:noProof/>
                <w:webHidden/>
              </w:rPr>
              <w:fldChar w:fldCharType="separate"/>
            </w:r>
            <w:r>
              <w:rPr>
                <w:noProof/>
                <w:webHidden/>
              </w:rPr>
              <w:t>9</w:t>
            </w:r>
            <w:r w:rsidR="002A2ABB">
              <w:rPr>
                <w:noProof/>
                <w:webHidden/>
              </w:rPr>
              <w:fldChar w:fldCharType="end"/>
            </w:r>
          </w:hyperlink>
        </w:p>
        <w:p w:rsidR="002A2ABB" w:rsidRDefault="00E01A3B">
          <w:pPr>
            <w:pStyle w:val="TOC3"/>
            <w:tabs>
              <w:tab w:val="right" w:leader="dot" w:pos="9350"/>
            </w:tabs>
            <w:rPr>
              <w:rFonts w:eastAsiaTheme="minorEastAsia" w:cstheme="minorBidi"/>
              <w:i w:val="0"/>
              <w:iCs w:val="0"/>
              <w:noProof/>
              <w:sz w:val="22"/>
              <w:szCs w:val="22"/>
            </w:rPr>
          </w:pPr>
          <w:hyperlink w:anchor="_Toc352854168" w:history="1">
            <w:r w:rsidR="002A2ABB" w:rsidRPr="00227AFD">
              <w:rPr>
                <w:rStyle w:val="Hyperlink"/>
                <w:noProof/>
              </w:rPr>
              <w:t>Compressed Natural Gas</w:t>
            </w:r>
            <w:r w:rsidR="002A2ABB">
              <w:rPr>
                <w:noProof/>
                <w:webHidden/>
              </w:rPr>
              <w:tab/>
            </w:r>
            <w:r w:rsidR="002A2ABB">
              <w:rPr>
                <w:noProof/>
                <w:webHidden/>
              </w:rPr>
              <w:fldChar w:fldCharType="begin"/>
            </w:r>
            <w:r w:rsidR="002A2ABB">
              <w:rPr>
                <w:noProof/>
                <w:webHidden/>
              </w:rPr>
              <w:instrText xml:space="preserve"> PAGEREF _Toc352854168 \h </w:instrText>
            </w:r>
            <w:r w:rsidR="002A2ABB">
              <w:rPr>
                <w:noProof/>
                <w:webHidden/>
              </w:rPr>
            </w:r>
            <w:r w:rsidR="002A2ABB">
              <w:rPr>
                <w:noProof/>
                <w:webHidden/>
              </w:rPr>
              <w:fldChar w:fldCharType="separate"/>
            </w:r>
            <w:r>
              <w:rPr>
                <w:noProof/>
                <w:webHidden/>
              </w:rPr>
              <w:t>9</w:t>
            </w:r>
            <w:r w:rsidR="002A2ABB">
              <w:rPr>
                <w:noProof/>
                <w:webHidden/>
              </w:rPr>
              <w:fldChar w:fldCharType="end"/>
            </w:r>
          </w:hyperlink>
        </w:p>
        <w:p w:rsidR="002A2ABB" w:rsidRDefault="00E01A3B">
          <w:pPr>
            <w:pStyle w:val="TOC3"/>
            <w:tabs>
              <w:tab w:val="right" w:leader="dot" w:pos="9350"/>
            </w:tabs>
            <w:rPr>
              <w:rFonts w:eastAsiaTheme="minorEastAsia" w:cstheme="minorBidi"/>
              <w:i w:val="0"/>
              <w:iCs w:val="0"/>
              <w:noProof/>
              <w:sz w:val="22"/>
              <w:szCs w:val="22"/>
            </w:rPr>
          </w:pPr>
          <w:hyperlink w:anchor="_Toc352854169" w:history="1">
            <w:r w:rsidR="002A2ABB" w:rsidRPr="00227AFD">
              <w:rPr>
                <w:rStyle w:val="Hyperlink"/>
                <w:noProof/>
              </w:rPr>
              <w:t>Liquefied Natural Gas</w:t>
            </w:r>
            <w:r w:rsidR="002A2ABB">
              <w:rPr>
                <w:noProof/>
                <w:webHidden/>
              </w:rPr>
              <w:tab/>
            </w:r>
            <w:r w:rsidR="002A2ABB">
              <w:rPr>
                <w:noProof/>
                <w:webHidden/>
              </w:rPr>
              <w:fldChar w:fldCharType="begin"/>
            </w:r>
            <w:r w:rsidR="002A2ABB">
              <w:rPr>
                <w:noProof/>
                <w:webHidden/>
              </w:rPr>
              <w:instrText xml:space="preserve"> PAGEREF _Toc352854169 \h </w:instrText>
            </w:r>
            <w:r w:rsidR="002A2ABB">
              <w:rPr>
                <w:noProof/>
                <w:webHidden/>
              </w:rPr>
            </w:r>
            <w:r w:rsidR="002A2ABB">
              <w:rPr>
                <w:noProof/>
                <w:webHidden/>
              </w:rPr>
              <w:fldChar w:fldCharType="separate"/>
            </w:r>
            <w:r>
              <w:rPr>
                <w:noProof/>
                <w:webHidden/>
              </w:rPr>
              <w:t>9</w:t>
            </w:r>
            <w:r w:rsidR="002A2ABB">
              <w:rPr>
                <w:noProof/>
                <w:webHidden/>
              </w:rPr>
              <w:fldChar w:fldCharType="end"/>
            </w:r>
          </w:hyperlink>
        </w:p>
        <w:p w:rsidR="002A2ABB" w:rsidRDefault="00E01A3B">
          <w:pPr>
            <w:pStyle w:val="TOC2"/>
            <w:tabs>
              <w:tab w:val="right" w:leader="dot" w:pos="9350"/>
            </w:tabs>
            <w:rPr>
              <w:rFonts w:eastAsiaTheme="minorEastAsia" w:cstheme="minorBidi"/>
              <w:smallCaps w:val="0"/>
              <w:noProof/>
              <w:sz w:val="22"/>
              <w:szCs w:val="22"/>
            </w:rPr>
          </w:pPr>
          <w:hyperlink w:anchor="_Toc352854170" w:history="1">
            <w:r w:rsidR="002A2ABB" w:rsidRPr="00227AFD">
              <w:rPr>
                <w:rStyle w:val="Hyperlink"/>
                <w:noProof/>
              </w:rPr>
              <w:t>Electricity</w:t>
            </w:r>
            <w:r w:rsidR="002A2ABB">
              <w:rPr>
                <w:noProof/>
                <w:webHidden/>
              </w:rPr>
              <w:tab/>
            </w:r>
            <w:r w:rsidR="002A2ABB">
              <w:rPr>
                <w:noProof/>
                <w:webHidden/>
              </w:rPr>
              <w:fldChar w:fldCharType="begin"/>
            </w:r>
            <w:r w:rsidR="002A2ABB">
              <w:rPr>
                <w:noProof/>
                <w:webHidden/>
              </w:rPr>
              <w:instrText xml:space="preserve"> PAGEREF _Toc352854170 \h </w:instrText>
            </w:r>
            <w:r w:rsidR="002A2ABB">
              <w:rPr>
                <w:noProof/>
                <w:webHidden/>
              </w:rPr>
            </w:r>
            <w:r w:rsidR="002A2ABB">
              <w:rPr>
                <w:noProof/>
                <w:webHidden/>
              </w:rPr>
              <w:fldChar w:fldCharType="separate"/>
            </w:r>
            <w:r>
              <w:rPr>
                <w:noProof/>
                <w:webHidden/>
              </w:rPr>
              <w:t>10</w:t>
            </w:r>
            <w:r w:rsidR="002A2ABB">
              <w:rPr>
                <w:noProof/>
                <w:webHidden/>
              </w:rPr>
              <w:fldChar w:fldCharType="end"/>
            </w:r>
          </w:hyperlink>
        </w:p>
        <w:p w:rsidR="002A2ABB" w:rsidRDefault="00E01A3B">
          <w:pPr>
            <w:pStyle w:val="TOC2"/>
            <w:tabs>
              <w:tab w:val="right" w:leader="dot" w:pos="9350"/>
            </w:tabs>
            <w:rPr>
              <w:rFonts w:eastAsiaTheme="minorEastAsia" w:cstheme="minorBidi"/>
              <w:smallCaps w:val="0"/>
              <w:noProof/>
              <w:sz w:val="22"/>
              <w:szCs w:val="22"/>
            </w:rPr>
          </w:pPr>
          <w:hyperlink w:anchor="_Toc352854171" w:history="1">
            <w:r w:rsidR="002A2ABB" w:rsidRPr="00227AFD">
              <w:rPr>
                <w:rStyle w:val="Hyperlink"/>
                <w:noProof/>
              </w:rPr>
              <w:t>Hydrogen</w:t>
            </w:r>
            <w:r w:rsidR="002A2ABB">
              <w:rPr>
                <w:noProof/>
                <w:webHidden/>
              </w:rPr>
              <w:tab/>
            </w:r>
            <w:r w:rsidR="002A2ABB">
              <w:rPr>
                <w:noProof/>
                <w:webHidden/>
              </w:rPr>
              <w:fldChar w:fldCharType="begin"/>
            </w:r>
            <w:r w:rsidR="002A2ABB">
              <w:rPr>
                <w:noProof/>
                <w:webHidden/>
              </w:rPr>
              <w:instrText xml:space="preserve"> PAGEREF _Toc352854171 \h </w:instrText>
            </w:r>
            <w:r w:rsidR="002A2ABB">
              <w:rPr>
                <w:noProof/>
                <w:webHidden/>
              </w:rPr>
            </w:r>
            <w:r w:rsidR="002A2ABB">
              <w:rPr>
                <w:noProof/>
                <w:webHidden/>
              </w:rPr>
              <w:fldChar w:fldCharType="separate"/>
            </w:r>
            <w:r>
              <w:rPr>
                <w:noProof/>
                <w:webHidden/>
              </w:rPr>
              <w:t>11</w:t>
            </w:r>
            <w:r w:rsidR="002A2ABB">
              <w:rPr>
                <w:noProof/>
                <w:webHidden/>
              </w:rPr>
              <w:fldChar w:fldCharType="end"/>
            </w:r>
          </w:hyperlink>
        </w:p>
        <w:p w:rsidR="002A2ABB" w:rsidRDefault="00E01A3B">
          <w:pPr>
            <w:pStyle w:val="TOC3"/>
            <w:tabs>
              <w:tab w:val="right" w:leader="dot" w:pos="9350"/>
            </w:tabs>
            <w:rPr>
              <w:rFonts w:eastAsiaTheme="minorEastAsia" w:cstheme="minorBidi"/>
              <w:i w:val="0"/>
              <w:iCs w:val="0"/>
              <w:noProof/>
              <w:sz w:val="22"/>
              <w:szCs w:val="22"/>
            </w:rPr>
          </w:pPr>
          <w:hyperlink w:anchor="_Toc352854172" w:history="1">
            <w:r w:rsidR="002A2ABB" w:rsidRPr="00227AFD">
              <w:rPr>
                <w:rStyle w:val="Hyperlink"/>
                <w:noProof/>
              </w:rPr>
              <w:t>Combustion of Hydrogen</w:t>
            </w:r>
            <w:r w:rsidR="002A2ABB">
              <w:rPr>
                <w:noProof/>
                <w:webHidden/>
              </w:rPr>
              <w:tab/>
            </w:r>
            <w:r w:rsidR="002A2ABB">
              <w:rPr>
                <w:noProof/>
                <w:webHidden/>
              </w:rPr>
              <w:fldChar w:fldCharType="begin"/>
            </w:r>
            <w:r w:rsidR="002A2ABB">
              <w:rPr>
                <w:noProof/>
                <w:webHidden/>
              </w:rPr>
              <w:instrText xml:space="preserve"> PAGEREF _Toc352854172 \h </w:instrText>
            </w:r>
            <w:r w:rsidR="002A2ABB">
              <w:rPr>
                <w:noProof/>
                <w:webHidden/>
              </w:rPr>
            </w:r>
            <w:r w:rsidR="002A2ABB">
              <w:rPr>
                <w:noProof/>
                <w:webHidden/>
              </w:rPr>
              <w:fldChar w:fldCharType="separate"/>
            </w:r>
            <w:r>
              <w:rPr>
                <w:noProof/>
                <w:webHidden/>
              </w:rPr>
              <w:t>11</w:t>
            </w:r>
            <w:r w:rsidR="002A2ABB">
              <w:rPr>
                <w:noProof/>
                <w:webHidden/>
              </w:rPr>
              <w:fldChar w:fldCharType="end"/>
            </w:r>
          </w:hyperlink>
        </w:p>
        <w:p w:rsidR="002A2ABB" w:rsidRDefault="00E01A3B">
          <w:pPr>
            <w:pStyle w:val="TOC3"/>
            <w:tabs>
              <w:tab w:val="right" w:leader="dot" w:pos="9350"/>
            </w:tabs>
            <w:rPr>
              <w:rFonts w:eastAsiaTheme="minorEastAsia" w:cstheme="minorBidi"/>
              <w:i w:val="0"/>
              <w:iCs w:val="0"/>
              <w:noProof/>
              <w:sz w:val="22"/>
              <w:szCs w:val="22"/>
            </w:rPr>
          </w:pPr>
          <w:hyperlink w:anchor="_Toc352854173" w:history="1">
            <w:r w:rsidR="002A2ABB" w:rsidRPr="00227AFD">
              <w:rPr>
                <w:rStyle w:val="Hyperlink"/>
                <w:noProof/>
              </w:rPr>
              <w:t>Hydrogen Fuel Cells</w:t>
            </w:r>
            <w:r w:rsidR="002A2ABB">
              <w:rPr>
                <w:noProof/>
                <w:webHidden/>
              </w:rPr>
              <w:tab/>
            </w:r>
            <w:r w:rsidR="002A2ABB">
              <w:rPr>
                <w:noProof/>
                <w:webHidden/>
              </w:rPr>
              <w:fldChar w:fldCharType="begin"/>
            </w:r>
            <w:r w:rsidR="002A2ABB">
              <w:rPr>
                <w:noProof/>
                <w:webHidden/>
              </w:rPr>
              <w:instrText xml:space="preserve"> PAGEREF _Toc352854173 \h </w:instrText>
            </w:r>
            <w:r w:rsidR="002A2ABB">
              <w:rPr>
                <w:noProof/>
                <w:webHidden/>
              </w:rPr>
            </w:r>
            <w:r w:rsidR="002A2ABB">
              <w:rPr>
                <w:noProof/>
                <w:webHidden/>
              </w:rPr>
              <w:fldChar w:fldCharType="separate"/>
            </w:r>
            <w:r>
              <w:rPr>
                <w:noProof/>
                <w:webHidden/>
              </w:rPr>
              <w:t>11</w:t>
            </w:r>
            <w:r w:rsidR="002A2ABB">
              <w:rPr>
                <w:noProof/>
                <w:webHidden/>
              </w:rPr>
              <w:fldChar w:fldCharType="end"/>
            </w:r>
          </w:hyperlink>
        </w:p>
        <w:p w:rsidR="002A2ABB" w:rsidRDefault="00E01A3B">
          <w:pPr>
            <w:pStyle w:val="TOC2"/>
            <w:tabs>
              <w:tab w:val="right" w:leader="dot" w:pos="9350"/>
            </w:tabs>
            <w:rPr>
              <w:rFonts w:eastAsiaTheme="minorEastAsia" w:cstheme="minorBidi"/>
              <w:smallCaps w:val="0"/>
              <w:noProof/>
              <w:sz w:val="22"/>
              <w:szCs w:val="22"/>
            </w:rPr>
          </w:pPr>
          <w:hyperlink w:anchor="_Toc352854174" w:history="1">
            <w:r w:rsidR="002A2ABB" w:rsidRPr="00227AFD">
              <w:rPr>
                <w:rStyle w:val="Hyperlink"/>
                <w:noProof/>
              </w:rPr>
              <w:t>Biofuels</w:t>
            </w:r>
            <w:r w:rsidR="002A2ABB">
              <w:rPr>
                <w:noProof/>
                <w:webHidden/>
              </w:rPr>
              <w:tab/>
            </w:r>
            <w:r w:rsidR="002A2ABB">
              <w:rPr>
                <w:noProof/>
                <w:webHidden/>
              </w:rPr>
              <w:fldChar w:fldCharType="begin"/>
            </w:r>
            <w:r w:rsidR="002A2ABB">
              <w:rPr>
                <w:noProof/>
                <w:webHidden/>
              </w:rPr>
              <w:instrText xml:space="preserve"> PAGEREF _Toc352854174 \h </w:instrText>
            </w:r>
            <w:r w:rsidR="002A2ABB">
              <w:rPr>
                <w:noProof/>
                <w:webHidden/>
              </w:rPr>
            </w:r>
            <w:r w:rsidR="002A2ABB">
              <w:rPr>
                <w:noProof/>
                <w:webHidden/>
              </w:rPr>
              <w:fldChar w:fldCharType="separate"/>
            </w:r>
            <w:r>
              <w:rPr>
                <w:noProof/>
                <w:webHidden/>
              </w:rPr>
              <w:t>12</w:t>
            </w:r>
            <w:r w:rsidR="002A2ABB">
              <w:rPr>
                <w:noProof/>
                <w:webHidden/>
              </w:rPr>
              <w:fldChar w:fldCharType="end"/>
            </w:r>
          </w:hyperlink>
        </w:p>
        <w:p w:rsidR="002A2ABB" w:rsidRDefault="00E01A3B">
          <w:pPr>
            <w:pStyle w:val="TOC3"/>
            <w:tabs>
              <w:tab w:val="right" w:leader="dot" w:pos="9350"/>
            </w:tabs>
            <w:rPr>
              <w:rFonts w:eastAsiaTheme="minorEastAsia" w:cstheme="minorBidi"/>
              <w:i w:val="0"/>
              <w:iCs w:val="0"/>
              <w:noProof/>
              <w:sz w:val="22"/>
              <w:szCs w:val="22"/>
            </w:rPr>
          </w:pPr>
          <w:hyperlink w:anchor="_Toc352854175" w:history="1">
            <w:r w:rsidR="002A2ABB" w:rsidRPr="00227AFD">
              <w:rPr>
                <w:rStyle w:val="Hyperlink"/>
                <w:noProof/>
              </w:rPr>
              <w:t>Ethanol</w:t>
            </w:r>
            <w:r w:rsidR="002A2ABB">
              <w:rPr>
                <w:noProof/>
                <w:webHidden/>
              </w:rPr>
              <w:tab/>
            </w:r>
            <w:r w:rsidR="002A2ABB">
              <w:rPr>
                <w:noProof/>
                <w:webHidden/>
              </w:rPr>
              <w:fldChar w:fldCharType="begin"/>
            </w:r>
            <w:r w:rsidR="002A2ABB">
              <w:rPr>
                <w:noProof/>
                <w:webHidden/>
              </w:rPr>
              <w:instrText xml:space="preserve"> PAGEREF _Toc352854175 \h </w:instrText>
            </w:r>
            <w:r w:rsidR="002A2ABB">
              <w:rPr>
                <w:noProof/>
                <w:webHidden/>
              </w:rPr>
            </w:r>
            <w:r w:rsidR="002A2ABB">
              <w:rPr>
                <w:noProof/>
                <w:webHidden/>
              </w:rPr>
              <w:fldChar w:fldCharType="separate"/>
            </w:r>
            <w:r>
              <w:rPr>
                <w:noProof/>
                <w:webHidden/>
              </w:rPr>
              <w:t>12</w:t>
            </w:r>
            <w:r w:rsidR="002A2ABB">
              <w:rPr>
                <w:noProof/>
                <w:webHidden/>
              </w:rPr>
              <w:fldChar w:fldCharType="end"/>
            </w:r>
          </w:hyperlink>
        </w:p>
        <w:p w:rsidR="002A2ABB" w:rsidRDefault="00E01A3B">
          <w:pPr>
            <w:pStyle w:val="TOC3"/>
            <w:tabs>
              <w:tab w:val="right" w:leader="dot" w:pos="9350"/>
            </w:tabs>
            <w:rPr>
              <w:rFonts w:eastAsiaTheme="minorEastAsia" w:cstheme="minorBidi"/>
              <w:i w:val="0"/>
              <w:iCs w:val="0"/>
              <w:noProof/>
              <w:sz w:val="22"/>
              <w:szCs w:val="22"/>
            </w:rPr>
          </w:pPr>
          <w:hyperlink w:anchor="_Toc352854176" w:history="1">
            <w:r w:rsidR="002A2ABB" w:rsidRPr="00227AFD">
              <w:rPr>
                <w:rStyle w:val="Hyperlink"/>
                <w:noProof/>
              </w:rPr>
              <w:t>Biodiesel</w:t>
            </w:r>
            <w:r w:rsidR="002A2ABB">
              <w:rPr>
                <w:noProof/>
                <w:webHidden/>
              </w:rPr>
              <w:tab/>
            </w:r>
            <w:r w:rsidR="002A2ABB">
              <w:rPr>
                <w:noProof/>
                <w:webHidden/>
              </w:rPr>
              <w:fldChar w:fldCharType="begin"/>
            </w:r>
            <w:r w:rsidR="002A2ABB">
              <w:rPr>
                <w:noProof/>
                <w:webHidden/>
              </w:rPr>
              <w:instrText xml:space="preserve"> PAGEREF _Toc352854176 \h </w:instrText>
            </w:r>
            <w:r w:rsidR="002A2ABB">
              <w:rPr>
                <w:noProof/>
                <w:webHidden/>
              </w:rPr>
            </w:r>
            <w:r w:rsidR="002A2ABB">
              <w:rPr>
                <w:noProof/>
                <w:webHidden/>
              </w:rPr>
              <w:fldChar w:fldCharType="separate"/>
            </w:r>
            <w:r>
              <w:rPr>
                <w:noProof/>
                <w:webHidden/>
              </w:rPr>
              <w:t>13</w:t>
            </w:r>
            <w:r w:rsidR="002A2ABB">
              <w:rPr>
                <w:noProof/>
                <w:webHidden/>
              </w:rPr>
              <w:fldChar w:fldCharType="end"/>
            </w:r>
          </w:hyperlink>
        </w:p>
        <w:p w:rsidR="002A2ABB" w:rsidRDefault="00E01A3B">
          <w:pPr>
            <w:pStyle w:val="TOC3"/>
            <w:tabs>
              <w:tab w:val="right" w:leader="dot" w:pos="9350"/>
            </w:tabs>
            <w:rPr>
              <w:rFonts w:eastAsiaTheme="minorEastAsia" w:cstheme="minorBidi"/>
              <w:i w:val="0"/>
              <w:iCs w:val="0"/>
              <w:noProof/>
              <w:sz w:val="22"/>
              <w:szCs w:val="22"/>
            </w:rPr>
          </w:pPr>
          <w:hyperlink w:anchor="_Toc352854177" w:history="1">
            <w:r w:rsidR="002A2ABB" w:rsidRPr="00227AFD">
              <w:rPr>
                <w:rStyle w:val="Hyperlink"/>
                <w:noProof/>
              </w:rPr>
              <w:t>Drop-in Biofuels</w:t>
            </w:r>
            <w:r w:rsidR="002A2ABB">
              <w:rPr>
                <w:noProof/>
                <w:webHidden/>
              </w:rPr>
              <w:tab/>
            </w:r>
            <w:r w:rsidR="002A2ABB">
              <w:rPr>
                <w:noProof/>
                <w:webHidden/>
              </w:rPr>
              <w:fldChar w:fldCharType="begin"/>
            </w:r>
            <w:r w:rsidR="002A2ABB">
              <w:rPr>
                <w:noProof/>
                <w:webHidden/>
              </w:rPr>
              <w:instrText xml:space="preserve"> PAGEREF _Toc352854177 \h </w:instrText>
            </w:r>
            <w:r w:rsidR="002A2ABB">
              <w:rPr>
                <w:noProof/>
                <w:webHidden/>
              </w:rPr>
            </w:r>
            <w:r w:rsidR="002A2ABB">
              <w:rPr>
                <w:noProof/>
                <w:webHidden/>
              </w:rPr>
              <w:fldChar w:fldCharType="separate"/>
            </w:r>
            <w:r>
              <w:rPr>
                <w:noProof/>
                <w:webHidden/>
              </w:rPr>
              <w:t>13</w:t>
            </w:r>
            <w:r w:rsidR="002A2ABB">
              <w:rPr>
                <w:noProof/>
                <w:webHidden/>
              </w:rPr>
              <w:fldChar w:fldCharType="end"/>
            </w:r>
          </w:hyperlink>
        </w:p>
        <w:p w:rsidR="002A2ABB" w:rsidRDefault="00E01A3B">
          <w:pPr>
            <w:pStyle w:val="TOC2"/>
            <w:tabs>
              <w:tab w:val="right" w:leader="dot" w:pos="9350"/>
            </w:tabs>
            <w:rPr>
              <w:rFonts w:eastAsiaTheme="minorEastAsia" w:cstheme="minorBidi"/>
              <w:smallCaps w:val="0"/>
              <w:noProof/>
              <w:sz w:val="22"/>
              <w:szCs w:val="22"/>
            </w:rPr>
          </w:pPr>
          <w:hyperlink w:anchor="_Toc352854178" w:history="1">
            <w:r w:rsidR="002A2ABB" w:rsidRPr="00227AFD">
              <w:rPr>
                <w:rStyle w:val="Hyperlink"/>
                <w:noProof/>
              </w:rPr>
              <w:t>Comparison of Fuels</w:t>
            </w:r>
            <w:r w:rsidR="002A2ABB">
              <w:rPr>
                <w:noProof/>
                <w:webHidden/>
              </w:rPr>
              <w:tab/>
            </w:r>
            <w:r w:rsidR="002A2ABB">
              <w:rPr>
                <w:noProof/>
                <w:webHidden/>
              </w:rPr>
              <w:fldChar w:fldCharType="begin"/>
            </w:r>
            <w:r w:rsidR="002A2ABB">
              <w:rPr>
                <w:noProof/>
                <w:webHidden/>
              </w:rPr>
              <w:instrText xml:space="preserve"> PAGEREF _Toc352854178 \h </w:instrText>
            </w:r>
            <w:r w:rsidR="002A2ABB">
              <w:rPr>
                <w:noProof/>
                <w:webHidden/>
              </w:rPr>
            </w:r>
            <w:r w:rsidR="002A2ABB">
              <w:rPr>
                <w:noProof/>
                <w:webHidden/>
              </w:rPr>
              <w:fldChar w:fldCharType="separate"/>
            </w:r>
            <w:r>
              <w:rPr>
                <w:noProof/>
                <w:webHidden/>
              </w:rPr>
              <w:t>13</w:t>
            </w:r>
            <w:r w:rsidR="002A2ABB">
              <w:rPr>
                <w:noProof/>
                <w:webHidden/>
              </w:rPr>
              <w:fldChar w:fldCharType="end"/>
            </w:r>
          </w:hyperlink>
        </w:p>
        <w:p w:rsidR="002A2ABB" w:rsidRDefault="00E01A3B">
          <w:pPr>
            <w:pStyle w:val="TOC1"/>
            <w:rPr>
              <w:rFonts w:eastAsiaTheme="minorEastAsia" w:cstheme="minorBidi"/>
              <w:bCs w:val="0"/>
              <w:sz w:val="22"/>
              <w:szCs w:val="22"/>
            </w:rPr>
          </w:pPr>
          <w:hyperlink w:anchor="_Toc352854179" w:history="1">
            <w:r w:rsidR="002A2ABB" w:rsidRPr="00227AFD">
              <w:rPr>
                <w:rStyle w:val="Hyperlink"/>
              </w:rPr>
              <w:t>CASE STUDIES</w:t>
            </w:r>
            <w:r w:rsidR="002A2ABB">
              <w:rPr>
                <w:webHidden/>
              </w:rPr>
              <w:tab/>
            </w:r>
            <w:r w:rsidR="002A2ABB">
              <w:rPr>
                <w:webHidden/>
              </w:rPr>
              <w:fldChar w:fldCharType="begin"/>
            </w:r>
            <w:r w:rsidR="002A2ABB">
              <w:rPr>
                <w:webHidden/>
              </w:rPr>
              <w:instrText xml:space="preserve"> PAGEREF _Toc352854179 \h </w:instrText>
            </w:r>
            <w:r w:rsidR="002A2ABB">
              <w:rPr>
                <w:webHidden/>
              </w:rPr>
            </w:r>
            <w:r w:rsidR="002A2ABB">
              <w:rPr>
                <w:webHidden/>
              </w:rPr>
              <w:fldChar w:fldCharType="separate"/>
            </w:r>
            <w:r>
              <w:rPr>
                <w:webHidden/>
              </w:rPr>
              <w:t>15</w:t>
            </w:r>
            <w:r w:rsidR="002A2ABB">
              <w:rPr>
                <w:webHidden/>
              </w:rPr>
              <w:fldChar w:fldCharType="end"/>
            </w:r>
          </w:hyperlink>
        </w:p>
        <w:p w:rsidR="002A2ABB" w:rsidRDefault="00E01A3B">
          <w:pPr>
            <w:pStyle w:val="TOC2"/>
            <w:tabs>
              <w:tab w:val="right" w:leader="dot" w:pos="9350"/>
            </w:tabs>
            <w:rPr>
              <w:rFonts w:eastAsiaTheme="minorEastAsia" w:cstheme="minorBidi"/>
              <w:smallCaps w:val="0"/>
              <w:noProof/>
              <w:sz w:val="22"/>
              <w:szCs w:val="22"/>
            </w:rPr>
          </w:pPr>
          <w:hyperlink w:anchor="_Toc352854180" w:history="1">
            <w:r w:rsidR="002A2ABB" w:rsidRPr="00227AFD">
              <w:rPr>
                <w:rStyle w:val="Hyperlink"/>
                <w:noProof/>
              </w:rPr>
              <w:t>Biofuels Growth in Brazil</w:t>
            </w:r>
            <w:r w:rsidR="002A2ABB">
              <w:rPr>
                <w:noProof/>
                <w:webHidden/>
              </w:rPr>
              <w:tab/>
            </w:r>
            <w:r w:rsidR="002A2ABB">
              <w:rPr>
                <w:noProof/>
                <w:webHidden/>
              </w:rPr>
              <w:fldChar w:fldCharType="begin"/>
            </w:r>
            <w:r w:rsidR="002A2ABB">
              <w:rPr>
                <w:noProof/>
                <w:webHidden/>
              </w:rPr>
              <w:instrText xml:space="preserve"> PAGEREF _Toc352854180 \h </w:instrText>
            </w:r>
            <w:r w:rsidR="002A2ABB">
              <w:rPr>
                <w:noProof/>
                <w:webHidden/>
              </w:rPr>
            </w:r>
            <w:r w:rsidR="002A2ABB">
              <w:rPr>
                <w:noProof/>
                <w:webHidden/>
              </w:rPr>
              <w:fldChar w:fldCharType="separate"/>
            </w:r>
            <w:r>
              <w:rPr>
                <w:noProof/>
                <w:webHidden/>
              </w:rPr>
              <w:t>15</w:t>
            </w:r>
            <w:r w:rsidR="002A2ABB">
              <w:rPr>
                <w:noProof/>
                <w:webHidden/>
              </w:rPr>
              <w:fldChar w:fldCharType="end"/>
            </w:r>
          </w:hyperlink>
        </w:p>
        <w:p w:rsidR="002A2ABB" w:rsidRDefault="00E01A3B">
          <w:pPr>
            <w:pStyle w:val="TOC3"/>
            <w:tabs>
              <w:tab w:val="right" w:leader="dot" w:pos="9350"/>
            </w:tabs>
            <w:rPr>
              <w:rFonts w:eastAsiaTheme="minorEastAsia" w:cstheme="minorBidi"/>
              <w:i w:val="0"/>
              <w:iCs w:val="0"/>
              <w:noProof/>
              <w:sz w:val="22"/>
              <w:szCs w:val="22"/>
            </w:rPr>
          </w:pPr>
          <w:hyperlink w:anchor="_Toc352854181" w:history="1">
            <w:r w:rsidR="002A2ABB" w:rsidRPr="00227AFD">
              <w:rPr>
                <w:rStyle w:val="Hyperlink"/>
                <w:noProof/>
              </w:rPr>
              <w:t>The Proalcool</w:t>
            </w:r>
            <w:r w:rsidR="002A2ABB">
              <w:rPr>
                <w:noProof/>
                <w:webHidden/>
              </w:rPr>
              <w:tab/>
            </w:r>
            <w:r w:rsidR="002A2ABB">
              <w:rPr>
                <w:noProof/>
                <w:webHidden/>
              </w:rPr>
              <w:fldChar w:fldCharType="begin"/>
            </w:r>
            <w:r w:rsidR="002A2ABB">
              <w:rPr>
                <w:noProof/>
                <w:webHidden/>
              </w:rPr>
              <w:instrText xml:space="preserve"> PAGEREF _Toc352854181 \h </w:instrText>
            </w:r>
            <w:r w:rsidR="002A2ABB">
              <w:rPr>
                <w:noProof/>
                <w:webHidden/>
              </w:rPr>
            </w:r>
            <w:r w:rsidR="002A2ABB">
              <w:rPr>
                <w:noProof/>
                <w:webHidden/>
              </w:rPr>
              <w:fldChar w:fldCharType="separate"/>
            </w:r>
            <w:r>
              <w:rPr>
                <w:noProof/>
                <w:webHidden/>
              </w:rPr>
              <w:t>15</w:t>
            </w:r>
            <w:r w:rsidR="002A2ABB">
              <w:rPr>
                <w:noProof/>
                <w:webHidden/>
              </w:rPr>
              <w:fldChar w:fldCharType="end"/>
            </w:r>
          </w:hyperlink>
        </w:p>
        <w:p w:rsidR="002A2ABB" w:rsidRDefault="00E01A3B">
          <w:pPr>
            <w:pStyle w:val="TOC3"/>
            <w:tabs>
              <w:tab w:val="right" w:leader="dot" w:pos="9350"/>
            </w:tabs>
            <w:rPr>
              <w:rFonts w:eastAsiaTheme="minorEastAsia" w:cstheme="minorBidi"/>
              <w:i w:val="0"/>
              <w:iCs w:val="0"/>
              <w:noProof/>
              <w:sz w:val="22"/>
              <w:szCs w:val="22"/>
            </w:rPr>
          </w:pPr>
          <w:hyperlink w:anchor="_Toc352854182" w:history="1">
            <w:r w:rsidR="002A2ABB" w:rsidRPr="00227AFD">
              <w:rPr>
                <w:rStyle w:val="Hyperlink"/>
                <w:noProof/>
              </w:rPr>
              <w:t>Fall of the Ethanol Car and the Rise of Flex-Fuel Vehicles</w:t>
            </w:r>
            <w:r w:rsidR="002A2ABB">
              <w:rPr>
                <w:noProof/>
                <w:webHidden/>
              </w:rPr>
              <w:tab/>
            </w:r>
            <w:r w:rsidR="002A2ABB">
              <w:rPr>
                <w:noProof/>
                <w:webHidden/>
              </w:rPr>
              <w:fldChar w:fldCharType="begin"/>
            </w:r>
            <w:r w:rsidR="002A2ABB">
              <w:rPr>
                <w:noProof/>
                <w:webHidden/>
              </w:rPr>
              <w:instrText xml:space="preserve"> PAGEREF _Toc352854182 \h </w:instrText>
            </w:r>
            <w:r w:rsidR="002A2ABB">
              <w:rPr>
                <w:noProof/>
                <w:webHidden/>
              </w:rPr>
            </w:r>
            <w:r w:rsidR="002A2ABB">
              <w:rPr>
                <w:noProof/>
                <w:webHidden/>
              </w:rPr>
              <w:fldChar w:fldCharType="separate"/>
            </w:r>
            <w:r>
              <w:rPr>
                <w:noProof/>
                <w:webHidden/>
              </w:rPr>
              <w:t>16</w:t>
            </w:r>
            <w:r w:rsidR="002A2ABB">
              <w:rPr>
                <w:noProof/>
                <w:webHidden/>
              </w:rPr>
              <w:fldChar w:fldCharType="end"/>
            </w:r>
          </w:hyperlink>
        </w:p>
        <w:p w:rsidR="002A2ABB" w:rsidRDefault="00E01A3B">
          <w:pPr>
            <w:pStyle w:val="TOC3"/>
            <w:tabs>
              <w:tab w:val="right" w:leader="dot" w:pos="9350"/>
            </w:tabs>
            <w:rPr>
              <w:rFonts w:eastAsiaTheme="minorEastAsia" w:cstheme="minorBidi"/>
              <w:i w:val="0"/>
              <w:iCs w:val="0"/>
              <w:noProof/>
              <w:sz w:val="22"/>
              <w:szCs w:val="22"/>
            </w:rPr>
          </w:pPr>
          <w:hyperlink w:anchor="_Toc352854183" w:history="1">
            <w:r w:rsidR="002A2ABB" w:rsidRPr="00227AFD">
              <w:rPr>
                <w:rStyle w:val="Hyperlink"/>
                <w:noProof/>
              </w:rPr>
              <w:t>Fuel Blending</w:t>
            </w:r>
            <w:r w:rsidR="002A2ABB">
              <w:rPr>
                <w:noProof/>
                <w:webHidden/>
              </w:rPr>
              <w:tab/>
            </w:r>
            <w:r w:rsidR="002A2ABB">
              <w:rPr>
                <w:noProof/>
                <w:webHidden/>
              </w:rPr>
              <w:fldChar w:fldCharType="begin"/>
            </w:r>
            <w:r w:rsidR="002A2ABB">
              <w:rPr>
                <w:noProof/>
                <w:webHidden/>
              </w:rPr>
              <w:instrText xml:space="preserve"> PAGEREF _Toc352854183 \h </w:instrText>
            </w:r>
            <w:r w:rsidR="002A2ABB">
              <w:rPr>
                <w:noProof/>
                <w:webHidden/>
              </w:rPr>
            </w:r>
            <w:r w:rsidR="002A2ABB">
              <w:rPr>
                <w:noProof/>
                <w:webHidden/>
              </w:rPr>
              <w:fldChar w:fldCharType="separate"/>
            </w:r>
            <w:r>
              <w:rPr>
                <w:noProof/>
                <w:webHidden/>
              </w:rPr>
              <w:t>16</w:t>
            </w:r>
            <w:r w:rsidR="002A2ABB">
              <w:rPr>
                <w:noProof/>
                <w:webHidden/>
              </w:rPr>
              <w:fldChar w:fldCharType="end"/>
            </w:r>
          </w:hyperlink>
        </w:p>
        <w:p w:rsidR="002A2ABB" w:rsidRDefault="00E01A3B">
          <w:pPr>
            <w:pStyle w:val="TOC3"/>
            <w:tabs>
              <w:tab w:val="right" w:leader="dot" w:pos="9350"/>
            </w:tabs>
            <w:rPr>
              <w:rFonts w:eastAsiaTheme="minorEastAsia" w:cstheme="minorBidi"/>
              <w:i w:val="0"/>
              <w:iCs w:val="0"/>
              <w:noProof/>
              <w:sz w:val="22"/>
              <w:szCs w:val="22"/>
            </w:rPr>
          </w:pPr>
          <w:hyperlink w:anchor="_Toc352854184" w:history="1">
            <w:r w:rsidR="002A2ABB" w:rsidRPr="00227AFD">
              <w:rPr>
                <w:rStyle w:val="Hyperlink"/>
                <w:noProof/>
              </w:rPr>
              <w:t>Infrastructure Financing</w:t>
            </w:r>
            <w:r w:rsidR="002A2ABB">
              <w:rPr>
                <w:noProof/>
                <w:webHidden/>
              </w:rPr>
              <w:tab/>
            </w:r>
            <w:r w:rsidR="002A2ABB">
              <w:rPr>
                <w:noProof/>
                <w:webHidden/>
              </w:rPr>
              <w:fldChar w:fldCharType="begin"/>
            </w:r>
            <w:r w:rsidR="002A2ABB">
              <w:rPr>
                <w:noProof/>
                <w:webHidden/>
              </w:rPr>
              <w:instrText xml:space="preserve"> PAGEREF _Toc352854184 \h </w:instrText>
            </w:r>
            <w:r w:rsidR="002A2ABB">
              <w:rPr>
                <w:noProof/>
                <w:webHidden/>
              </w:rPr>
            </w:r>
            <w:r w:rsidR="002A2ABB">
              <w:rPr>
                <w:noProof/>
                <w:webHidden/>
              </w:rPr>
              <w:fldChar w:fldCharType="separate"/>
            </w:r>
            <w:r>
              <w:rPr>
                <w:noProof/>
                <w:webHidden/>
              </w:rPr>
              <w:t>17</w:t>
            </w:r>
            <w:r w:rsidR="002A2ABB">
              <w:rPr>
                <w:noProof/>
                <w:webHidden/>
              </w:rPr>
              <w:fldChar w:fldCharType="end"/>
            </w:r>
          </w:hyperlink>
        </w:p>
        <w:p w:rsidR="002A2ABB" w:rsidRDefault="00E01A3B">
          <w:pPr>
            <w:pStyle w:val="TOC3"/>
            <w:tabs>
              <w:tab w:val="right" w:leader="dot" w:pos="9350"/>
            </w:tabs>
            <w:rPr>
              <w:rFonts w:eastAsiaTheme="minorEastAsia" w:cstheme="minorBidi"/>
              <w:i w:val="0"/>
              <w:iCs w:val="0"/>
              <w:noProof/>
              <w:sz w:val="22"/>
              <w:szCs w:val="22"/>
            </w:rPr>
          </w:pPr>
          <w:hyperlink w:anchor="_Toc352854185" w:history="1">
            <w:r w:rsidR="002A2ABB" w:rsidRPr="00227AFD">
              <w:rPr>
                <w:rStyle w:val="Hyperlink"/>
                <w:noProof/>
              </w:rPr>
              <w:t>Vehicles</w:t>
            </w:r>
            <w:r w:rsidR="002A2ABB">
              <w:rPr>
                <w:noProof/>
                <w:webHidden/>
              </w:rPr>
              <w:tab/>
            </w:r>
            <w:r w:rsidR="002A2ABB">
              <w:rPr>
                <w:noProof/>
                <w:webHidden/>
              </w:rPr>
              <w:fldChar w:fldCharType="begin"/>
            </w:r>
            <w:r w:rsidR="002A2ABB">
              <w:rPr>
                <w:noProof/>
                <w:webHidden/>
              </w:rPr>
              <w:instrText xml:space="preserve"> PAGEREF _Toc352854185 \h </w:instrText>
            </w:r>
            <w:r w:rsidR="002A2ABB">
              <w:rPr>
                <w:noProof/>
                <w:webHidden/>
              </w:rPr>
            </w:r>
            <w:r w:rsidR="002A2ABB">
              <w:rPr>
                <w:noProof/>
                <w:webHidden/>
              </w:rPr>
              <w:fldChar w:fldCharType="separate"/>
            </w:r>
            <w:r>
              <w:rPr>
                <w:noProof/>
                <w:webHidden/>
              </w:rPr>
              <w:t>17</w:t>
            </w:r>
            <w:r w:rsidR="002A2ABB">
              <w:rPr>
                <w:noProof/>
                <w:webHidden/>
              </w:rPr>
              <w:fldChar w:fldCharType="end"/>
            </w:r>
          </w:hyperlink>
        </w:p>
        <w:p w:rsidR="002A2ABB" w:rsidRDefault="00E01A3B">
          <w:pPr>
            <w:pStyle w:val="TOC3"/>
            <w:tabs>
              <w:tab w:val="right" w:leader="dot" w:pos="9350"/>
            </w:tabs>
            <w:rPr>
              <w:rFonts w:eastAsiaTheme="minorEastAsia" w:cstheme="minorBidi"/>
              <w:i w:val="0"/>
              <w:iCs w:val="0"/>
              <w:noProof/>
              <w:sz w:val="22"/>
              <w:szCs w:val="22"/>
            </w:rPr>
          </w:pPr>
          <w:hyperlink w:anchor="_Toc352854186" w:history="1">
            <w:r w:rsidR="002A2ABB" w:rsidRPr="00227AFD">
              <w:rPr>
                <w:rStyle w:val="Hyperlink"/>
                <w:noProof/>
              </w:rPr>
              <w:t>Lessons Learned</w:t>
            </w:r>
            <w:r w:rsidR="002A2ABB">
              <w:rPr>
                <w:noProof/>
                <w:webHidden/>
              </w:rPr>
              <w:tab/>
            </w:r>
            <w:r w:rsidR="002A2ABB">
              <w:rPr>
                <w:noProof/>
                <w:webHidden/>
              </w:rPr>
              <w:fldChar w:fldCharType="begin"/>
            </w:r>
            <w:r w:rsidR="002A2ABB">
              <w:rPr>
                <w:noProof/>
                <w:webHidden/>
              </w:rPr>
              <w:instrText xml:space="preserve"> PAGEREF _Toc352854186 \h </w:instrText>
            </w:r>
            <w:r w:rsidR="002A2ABB">
              <w:rPr>
                <w:noProof/>
                <w:webHidden/>
              </w:rPr>
            </w:r>
            <w:r w:rsidR="002A2ABB">
              <w:rPr>
                <w:noProof/>
                <w:webHidden/>
              </w:rPr>
              <w:fldChar w:fldCharType="separate"/>
            </w:r>
            <w:r>
              <w:rPr>
                <w:noProof/>
                <w:webHidden/>
              </w:rPr>
              <w:t>18</w:t>
            </w:r>
            <w:r w:rsidR="002A2ABB">
              <w:rPr>
                <w:noProof/>
                <w:webHidden/>
              </w:rPr>
              <w:fldChar w:fldCharType="end"/>
            </w:r>
          </w:hyperlink>
        </w:p>
        <w:p w:rsidR="002A2ABB" w:rsidRDefault="00E01A3B">
          <w:pPr>
            <w:pStyle w:val="TOC2"/>
            <w:tabs>
              <w:tab w:val="right" w:leader="dot" w:pos="9350"/>
            </w:tabs>
            <w:rPr>
              <w:rFonts w:eastAsiaTheme="minorEastAsia" w:cstheme="minorBidi"/>
              <w:smallCaps w:val="0"/>
              <w:noProof/>
              <w:sz w:val="22"/>
              <w:szCs w:val="22"/>
            </w:rPr>
          </w:pPr>
          <w:hyperlink w:anchor="_Toc352854187" w:history="1">
            <w:r w:rsidR="002A2ABB" w:rsidRPr="00227AFD">
              <w:rPr>
                <w:rStyle w:val="Hyperlink"/>
                <w:noProof/>
              </w:rPr>
              <w:t>Diesel Adoption in Europe</w:t>
            </w:r>
            <w:r w:rsidR="002A2ABB">
              <w:rPr>
                <w:noProof/>
                <w:webHidden/>
              </w:rPr>
              <w:tab/>
            </w:r>
            <w:r w:rsidR="002A2ABB">
              <w:rPr>
                <w:noProof/>
                <w:webHidden/>
              </w:rPr>
              <w:fldChar w:fldCharType="begin"/>
            </w:r>
            <w:r w:rsidR="002A2ABB">
              <w:rPr>
                <w:noProof/>
                <w:webHidden/>
              </w:rPr>
              <w:instrText xml:space="preserve"> PAGEREF _Toc352854187 \h </w:instrText>
            </w:r>
            <w:r w:rsidR="002A2ABB">
              <w:rPr>
                <w:noProof/>
                <w:webHidden/>
              </w:rPr>
            </w:r>
            <w:r w:rsidR="002A2ABB">
              <w:rPr>
                <w:noProof/>
                <w:webHidden/>
              </w:rPr>
              <w:fldChar w:fldCharType="separate"/>
            </w:r>
            <w:r>
              <w:rPr>
                <w:noProof/>
                <w:webHidden/>
              </w:rPr>
              <w:t>18</w:t>
            </w:r>
            <w:r w:rsidR="002A2ABB">
              <w:rPr>
                <w:noProof/>
                <w:webHidden/>
              </w:rPr>
              <w:fldChar w:fldCharType="end"/>
            </w:r>
          </w:hyperlink>
        </w:p>
        <w:p w:rsidR="002A2ABB" w:rsidRDefault="00E01A3B">
          <w:pPr>
            <w:pStyle w:val="TOC2"/>
            <w:tabs>
              <w:tab w:val="right" w:leader="dot" w:pos="9350"/>
            </w:tabs>
            <w:rPr>
              <w:rFonts w:eastAsiaTheme="minorEastAsia" w:cstheme="minorBidi"/>
              <w:smallCaps w:val="0"/>
              <w:noProof/>
              <w:sz w:val="22"/>
              <w:szCs w:val="22"/>
            </w:rPr>
          </w:pPr>
          <w:hyperlink w:anchor="_Toc352854188" w:history="1">
            <w:r w:rsidR="002A2ABB" w:rsidRPr="00227AFD">
              <w:rPr>
                <w:rStyle w:val="Hyperlink"/>
                <w:noProof/>
              </w:rPr>
              <w:t>Renewable Energy Development in Germany</w:t>
            </w:r>
            <w:r w:rsidR="002A2ABB">
              <w:rPr>
                <w:noProof/>
                <w:webHidden/>
              </w:rPr>
              <w:tab/>
            </w:r>
            <w:r w:rsidR="002A2ABB">
              <w:rPr>
                <w:noProof/>
                <w:webHidden/>
              </w:rPr>
              <w:fldChar w:fldCharType="begin"/>
            </w:r>
            <w:r w:rsidR="002A2ABB">
              <w:rPr>
                <w:noProof/>
                <w:webHidden/>
              </w:rPr>
              <w:instrText xml:space="preserve"> PAGEREF _Toc352854188 \h </w:instrText>
            </w:r>
            <w:r w:rsidR="002A2ABB">
              <w:rPr>
                <w:noProof/>
                <w:webHidden/>
              </w:rPr>
            </w:r>
            <w:r w:rsidR="002A2ABB">
              <w:rPr>
                <w:noProof/>
                <w:webHidden/>
              </w:rPr>
              <w:fldChar w:fldCharType="separate"/>
            </w:r>
            <w:r>
              <w:rPr>
                <w:noProof/>
                <w:webHidden/>
              </w:rPr>
              <w:t>21</w:t>
            </w:r>
            <w:r w:rsidR="002A2ABB">
              <w:rPr>
                <w:noProof/>
                <w:webHidden/>
              </w:rPr>
              <w:fldChar w:fldCharType="end"/>
            </w:r>
          </w:hyperlink>
        </w:p>
        <w:p w:rsidR="002A2ABB" w:rsidRDefault="00E01A3B">
          <w:pPr>
            <w:pStyle w:val="TOC3"/>
            <w:tabs>
              <w:tab w:val="right" w:leader="dot" w:pos="9350"/>
            </w:tabs>
            <w:rPr>
              <w:rFonts w:eastAsiaTheme="minorEastAsia" w:cstheme="minorBidi"/>
              <w:i w:val="0"/>
              <w:iCs w:val="0"/>
              <w:noProof/>
              <w:sz w:val="22"/>
              <w:szCs w:val="22"/>
            </w:rPr>
          </w:pPr>
          <w:hyperlink w:anchor="_Toc352854189" w:history="1">
            <w:r w:rsidR="002A2ABB" w:rsidRPr="00227AFD">
              <w:rPr>
                <w:rStyle w:val="Hyperlink"/>
                <w:noProof/>
              </w:rPr>
              <w:t>Feed-in Tariff</w:t>
            </w:r>
            <w:r w:rsidR="002A2ABB">
              <w:rPr>
                <w:noProof/>
                <w:webHidden/>
              </w:rPr>
              <w:tab/>
            </w:r>
            <w:r w:rsidR="002A2ABB">
              <w:rPr>
                <w:noProof/>
                <w:webHidden/>
              </w:rPr>
              <w:fldChar w:fldCharType="begin"/>
            </w:r>
            <w:r w:rsidR="002A2ABB">
              <w:rPr>
                <w:noProof/>
                <w:webHidden/>
              </w:rPr>
              <w:instrText xml:space="preserve"> PAGEREF _Toc352854189 \h </w:instrText>
            </w:r>
            <w:r w:rsidR="002A2ABB">
              <w:rPr>
                <w:noProof/>
                <w:webHidden/>
              </w:rPr>
            </w:r>
            <w:r w:rsidR="002A2ABB">
              <w:rPr>
                <w:noProof/>
                <w:webHidden/>
              </w:rPr>
              <w:fldChar w:fldCharType="separate"/>
            </w:r>
            <w:r>
              <w:rPr>
                <w:noProof/>
                <w:webHidden/>
              </w:rPr>
              <w:t>22</w:t>
            </w:r>
            <w:r w:rsidR="002A2ABB">
              <w:rPr>
                <w:noProof/>
                <w:webHidden/>
              </w:rPr>
              <w:fldChar w:fldCharType="end"/>
            </w:r>
          </w:hyperlink>
        </w:p>
        <w:p w:rsidR="002A2ABB" w:rsidRDefault="00E01A3B">
          <w:pPr>
            <w:pStyle w:val="TOC3"/>
            <w:tabs>
              <w:tab w:val="right" w:leader="dot" w:pos="9350"/>
            </w:tabs>
            <w:rPr>
              <w:rFonts w:eastAsiaTheme="minorEastAsia" w:cstheme="minorBidi"/>
              <w:i w:val="0"/>
              <w:iCs w:val="0"/>
              <w:noProof/>
              <w:sz w:val="22"/>
              <w:szCs w:val="22"/>
            </w:rPr>
          </w:pPr>
          <w:hyperlink w:anchor="_Toc352854190" w:history="1">
            <w:r w:rsidR="002A2ABB" w:rsidRPr="00227AFD">
              <w:rPr>
                <w:rStyle w:val="Hyperlink"/>
                <w:noProof/>
              </w:rPr>
              <w:t>Other Financing Options for Renewable Energy</w:t>
            </w:r>
            <w:r w:rsidR="002A2ABB">
              <w:rPr>
                <w:noProof/>
                <w:webHidden/>
              </w:rPr>
              <w:tab/>
            </w:r>
            <w:r w:rsidR="002A2ABB">
              <w:rPr>
                <w:noProof/>
                <w:webHidden/>
              </w:rPr>
              <w:fldChar w:fldCharType="begin"/>
            </w:r>
            <w:r w:rsidR="002A2ABB">
              <w:rPr>
                <w:noProof/>
                <w:webHidden/>
              </w:rPr>
              <w:instrText xml:space="preserve"> PAGEREF _Toc352854190 \h </w:instrText>
            </w:r>
            <w:r w:rsidR="002A2ABB">
              <w:rPr>
                <w:noProof/>
                <w:webHidden/>
              </w:rPr>
            </w:r>
            <w:r w:rsidR="002A2ABB">
              <w:rPr>
                <w:noProof/>
                <w:webHidden/>
              </w:rPr>
              <w:fldChar w:fldCharType="separate"/>
            </w:r>
            <w:r>
              <w:rPr>
                <w:noProof/>
                <w:webHidden/>
              </w:rPr>
              <w:t>23</w:t>
            </w:r>
            <w:r w:rsidR="002A2ABB">
              <w:rPr>
                <w:noProof/>
                <w:webHidden/>
              </w:rPr>
              <w:fldChar w:fldCharType="end"/>
            </w:r>
          </w:hyperlink>
        </w:p>
        <w:p w:rsidR="002A2ABB" w:rsidRDefault="00E01A3B">
          <w:pPr>
            <w:pStyle w:val="TOC1"/>
            <w:rPr>
              <w:rFonts w:eastAsiaTheme="minorEastAsia" w:cstheme="minorBidi"/>
              <w:bCs w:val="0"/>
              <w:sz w:val="22"/>
              <w:szCs w:val="22"/>
            </w:rPr>
          </w:pPr>
          <w:hyperlink w:anchor="_Toc352854191" w:history="1">
            <w:r w:rsidR="002A2ABB" w:rsidRPr="00227AFD">
              <w:rPr>
                <w:rStyle w:val="Hyperlink"/>
              </w:rPr>
              <w:t>EXISTING INFRASTRUCTURE INVESTMENTS IN SELECTED COUNTRIES</w:t>
            </w:r>
            <w:r w:rsidR="002A2ABB">
              <w:rPr>
                <w:webHidden/>
              </w:rPr>
              <w:tab/>
            </w:r>
            <w:r w:rsidR="002A2ABB">
              <w:rPr>
                <w:webHidden/>
              </w:rPr>
              <w:fldChar w:fldCharType="begin"/>
            </w:r>
            <w:r w:rsidR="002A2ABB">
              <w:rPr>
                <w:webHidden/>
              </w:rPr>
              <w:instrText xml:space="preserve"> PAGEREF _Toc352854191 \h </w:instrText>
            </w:r>
            <w:r w:rsidR="002A2ABB">
              <w:rPr>
                <w:webHidden/>
              </w:rPr>
            </w:r>
            <w:r w:rsidR="002A2ABB">
              <w:rPr>
                <w:webHidden/>
              </w:rPr>
              <w:fldChar w:fldCharType="separate"/>
            </w:r>
            <w:r>
              <w:rPr>
                <w:webHidden/>
              </w:rPr>
              <w:t>25</w:t>
            </w:r>
            <w:r w:rsidR="002A2ABB">
              <w:rPr>
                <w:webHidden/>
              </w:rPr>
              <w:fldChar w:fldCharType="end"/>
            </w:r>
          </w:hyperlink>
        </w:p>
        <w:p w:rsidR="002A2ABB" w:rsidRDefault="00E01A3B">
          <w:pPr>
            <w:pStyle w:val="TOC2"/>
            <w:tabs>
              <w:tab w:val="right" w:leader="dot" w:pos="9350"/>
            </w:tabs>
            <w:rPr>
              <w:rFonts w:eastAsiaTheme="minorEastAsia" w:cstheme="minorBidi"/>
              <w:smallCaps w:val="0"/>
              <w:noProof/>
              <w:sz w:val="22"/>
              <w:szCs w:val="22"/>
            </w:rPr>
          </w:pPr>
          <w:hyperlink w:anchor="_Toc352854192" w:history="1">
            <w:r w:rsidR="002A2ABB" w:rsidRPr="00227AFD">
              <w:rPr>
                <w:rStyle w:val="Hyperlink"/>
                <w:noProof/>
              </w:rPr>
              <w:t>Brazil</w:t>
            </w:r>
            <w:r w:rsidR="002A2ABB">
              <w:rPr>
                <w:noProof/>
                <w:webHidden/>
              </w:rPr>
              <w:tab/>
            </w:r>
            <w:r w:rsidR="002A2ABB">
              <w:rPr>
                <w:noProof/>
                <w:webHidden/>
              </w:rPr>
              <w:fldChar w:fldCharType="begin"/>
            </w:r>
            <w:r w:rsidR="002A2ABB">
              <w:rPr>
                <w:noProof/>
                <w:webHidden/>
              </w:rPr>
              <w:instrText xml:space="preserve"> PAGEREF _Toc352854192 \h </w:instrText>
            </w:r>
            <w:r w:rsidR="002A2ABB">
              <w:rPr>
                <w:noProof/>
                <w:webHidden/>
              </w:rPr>
            </w:r>
            <w:r w:rsidR="002A2ABB">
              <w:rPr>
                <w:noProof/>
                <w:webHidden/>
              </w:rPr>
              <w:fldChar w:fldCharType="separate"/>
            </w:r>
            <w:r>
              <w:rPr>
                <w:noProof/>
                <w:webHidden/>
              </w:rPr>
              <w:t>25</w:t>
            </w:r>
            <w:r w:rsidR="002A2ABB">
              <w:rPr>
                <w:noProof/>
                <w:webHidden/>
              </w:rPr>
              <w:fldChar w:fldCharType="end"/>
            </w:r>
          </w:hyperlink>
        </w:p>
        <w:p w:rsidR="002A2ABB" w:rsidRDefault="00E01A3B">
          <w:pPr>
            <w:pStyle w:val="TOC2"/>
            <w:tabs>
              <w:tab w:val="right" w:leader="dot" w:pos="9350"/>
            </w:tabs>
            <w:rPr>
              <w:rFonts w:eastAsiaTheme="minorEastAsia" w:cstheme="minorBidi"/>
              <w:smallCaps w:val="0"/>
              <w:noProof/>
              <w:sz w:val="22"/>
              <w:szCs w:val="22"/>
            </w:rPr>
          </w:pPr>
          <w:hyperlink w:anchor="_Toc352854193" w:history="1">
            <w:r w:rsidR="002A2ABB" w:rsidRPr="00227AFD">
              <w:rPr>
                <w:rStyle w:val="Hyperlink"/>
                <w:noProof/>
              </w:rPr>
              <w:t>China</w:t>
            </w:r>
            <w:r w:rsidR="002A2ABB">
              <w:rPr>
                <w:noProof/>
                <w:webHidden/>
              </w:rPr>
              <w:tab/>
            </w:r>
            <w:r w:rsidR="002A2ABB">
              <w:rPr>
                <w:noProof/>
                <w:webHidden/>
              </w:rPr>
              <w:fldChar w:fldCharType="begin"/>
            </w:r>
            <w:r w:rsidR="002A2ABB">
              <w:rPr>
                <w:noProof/>
                <w:webHidden/>
              </w:rPr>
              <w:instrText xml:space="preserve"> PAGEREF _Toc352854193 \h </w:instrText>
            </w:r>
            <w:r w:rsidR="002A2ABB">
              <w:rPr>
                <w:noProof/>
                <w:webHidden/>
              </w:rPr>
            </w:r>
            <w:r w:rsidR="002A2ABB">
              <w:rPr>
                <w:noProof/>
                <w:webHidden/>
              </w:rPr>
              <w:fldChar w:fldCharType="separate"/>
            </w:r>
            <w:r>
              <w:rPr>
                <w:noProof/>
                <w:webHidden/>
              </w:rPr>
              <w:t>26</w:t>
            </w:r>
            <w:r w:rsidR="002A2ABB">
              <w:rPr>
                <w:noProof/>
                <w:webHidden/>
              </w:rPr>
              <w:fldChar w:fldCharType="end"/>
            </w:r>
          </w:hyperlink>
        </w:p>
        <w:p w:rsidR="002A2ABB" w:rsidRDefault="00E01A3B">
          <w:pPr>
            <w:pStyle w:val="TOC2"/>
            <w:tabs>
              <w:tab w:val="right" w:leader="dot" w:pos="9350"/>
            </w:tabs>
            <w:rPr>
              <w:rFonts w:eastAsiaTheme="minorEastAsia" w:cstheme="minorBidi"/>
              <w:smallCaps w:val="0"/>
              <w:noProof/>
              <w:sz w:val="22"/>
              <w:szCs w:val="22"/>
            </w:rPr>
          </w:pPr>
          <w:hyperlink w:anchor="_Toc352854194" w:history="1">
            <w:r w:rsidR="002A2ABB" w:rsidRPr="00227AFD">
              <w:rPr>
                <w:rStyle w:val="Hyperlink"/>
                <w:noProof/>
              </w:rPr>
              <w:t>European Union</w:t>
            </w:r>
            <w:r w:rsidR="002A2ABB">
              <w:rPr>
                <w:noProof/>
                <w:webHidden/>
              </w:rPr>
              <w:tab/>
            </w:r>
            <w:r w:rsidR="002A2ABB">
              <w:rPr>
                <w:noProof/>
                <w:webHidden/>
              </w:rPr>
              <w:fldChar w:fldCharType="begin"/>
            </w:r>
            <w:r w:rsidR="002A2ABB">
              <w:rPr>
                <w:noProof/>
                <w:webHidden/>
              </w:rPr>
              <w:instrText xml:space="preserve"> PAGEREF _Toc352854194 \h </w:instrText>
            </w:r>
            <w:r w:rsidR="002A2ABB">
              <w:rPr>
                <w:noProof/>
                <w:webHidden/>
              </w:rPr>
            </w:r>
            <w:r w:rsidR="002A2ABB">
              <w:rPr>
                <w:noProof/>
                <w:webHidden/>
              </w:rPr>
              <w:fldChar w:fldCharType="separate"/>
            </w:r>
            <w:r>
              <w:rPr>
                <w:noProof/>
                <w:webHidden/>
              </w:rPr>
              <w:t>26</w:t>
            </w:r>
            <w:r w:rsidR="002A2ABB">
              <w:rPr>
                <w:noProof/>
                <w:webHidden/>
              </w:rPr>
              <w:fldChar w:fldCharType="end"/>
            </w:r>
          </w:hyperlink>
        </w:p>
        <w:p w:rsidR="002A2ABB" w:rsidRDefault="00E01A3B">
          <w:pPr>
            <w:pStyle w:val="TOC2"/>
            <w:tabs>
              <w:tab w:val="right" w:leader="dot" w:pos="9350"/>
            </w:tabs>
            <w:rPr>
              <w:rFonts w:eastAsiaTheme="minorEastAsia" w:cstheme="minorBidi"/>
              <w:smallCaps w:val="0"/>
              <w:noProof/>
              <w:sz w:val="22"/>
              <w:szCs w:val="22"/>
            </w:rPr>
          </w:pPr>
          <w:hyperlink w:anchor="_Toc352854195" w:history="1">
            <w:r w:rsidR="002A2ABB" w:rsidRPr="00227AFD">
              <w:rPr>
                <w:rStyle w:val="Hyperlink"/>
                <w:noProof/>
              </w:rPr>
              <w:t>United States</w:t>
            </w:r>
            <w:r w:rsidR="002A2ABB">
              <w:rPr>
                <w:noProof/>
                <w:webHidden/>
              </w:rPr>
              <w:tab/>
            </w:r>
            <w:r w:rsidR="002A2ABB">
              <w:rPr>
                <w:noProof/>
                <w:webHidden/>
              </w:rPr>
              <w:fldChar w:fldCharType="begin"/>
            </w:r>
            <w:r w:rsidR="002A2ABB">
              <w:rPr>
                <w:noProof/>
                <w:webHidden/>
              </w:rPr>
              <w:instrText xml:space="preserve"> PAGEREF _Toc352854195 \h </w:instrText>
            </w:r>
            <w:r w:rsidR="002A2ABB">
              <w:rPr>
                <w:noProof/>
                <w:webHidden/>
              </w:rPr>
            </w:r>
            <w:r w:rsidR="002A2ABB">
              <w:rPr>
                <w:noProof/>
                <w:webHidden/>
              </w:rPr>
              <w:fldChar w:fldCharType="separate"/>
            </w:r>
            <w:r>
              <w:rPr>
                <w:noProof/>
                <w:webHidden/>
              </w:rPr>
              <w:t>27</w:t>
            </w:r>
            <w:r w:rsidR="002A2ABB">
              <w:rPr>
                <w:noProof/>
                <w:webHidden/>
              </w:rPr>
              <w:fldChar w:fldCharType="end"/>
            </w:r>
          </w:hyperlink>
        </w:p>
        <w:p w:rsidR="002A2ABB" w:rsidRDefault="00E01A3B">
          <w:pPr>
            <w:pStyle w:val="TOC3"/>
            <w:tabs>
              <w:tab w:val="right" w:leader="dot" w:pos="9350"/>
            </w:tabs>
            <w:rPr>
              <w:rFonts w:eastAsiaTheme="minorEastAsia" w:cstheme="minorBidi"/>
              <w:i w:val="0"/>
              <w:iCs w:val="0"/>
              <w:noProof/>
              <w:sz w:val="22"/>
              <w:szCs w:val="22"/>
            </w:rPr>
          </w:pPr>
          <w:hyperlink w:anchor="_Toc352854196" w:history="1">
            <w:r w:rsidR="002A2ABB" w:rsidRPr="00227AFD">
              <w:rPr>
                <w:rStyle w:val="Hyperlink"/>
                <w:noProof/>
              </w:rPr>
              <w:t>AFV Policies</w:t>
            </w:r>
            <w:r w:rsidR="002A2ABB">
              <w:rPr>
                <w:noProof/>
                <w:webHidden/>
              </w:rPr>
              <w:tab/>
            </w:r>
            <w:r w:rsidR="002A2ABB">
              <w:rPr>
                <w:noProof/>
                <w:webHidden/>
              </w:rPr>
              <w:fldChar w:fldCharType="begin"/>
            </w:r>
            <w:r w:rsidR="002A2ABB">
              <w:rPr>
                <w:noProof/>
                <w:webHidden/>
              </w:rPr>
              <w:instrText xml:space="preserve"> PAGEREF _Toc352854196 \h </w:instrText>
            </w:r>
            <w:r w:rsidR="002A2ABB">
              <w:rPr>
                <w:noProof/>
                <w:webHidden/>
              </w:rPr>
            </w:r>
            <w:r w:rsidR="002A2ABB">
              <w:rPr>
                <w:noProof/>
                <w:webHidden/>
              </w:rPr>
              <w:fldChar w:fldCharType="separate"/>
            </w:r>
            <w:r>
              <w:rPr>
                <w:noProof/>
                <w:webHidden/>
              </w:rPr>
              <w:t>28</w:t>
            </w:r>
            <w:r w:rsidR="002A2ABB">
              <w:rPr>
                <w:noProof/>
                <w:webHidden/>
              </w:rPr>
              <w:fldChar w:fldCharType="end"/>
            </w:r>
          </w:hyperlink>
        </w:p>
        <w:p w:rsidR="002A2ABB" w:rsidRDefault="00E01A3B">
          <w:pPr>
            <w:pStyle w:val="TOC3"/>
            <w:tabs>
              <w:tab w:val="right" w:leader="dot" w:pos="9350"/>
            </w:tabs>
            <w:rPr>
              <w:rFonts w:eastAsiaTheme="minorEastAsia" w:cstheme="minorBidi"/>
              <w:i w:val="0"/>
              <w:iCs w:val="0"/>
              <w:noProof/>
              <w:sz w:val="22"/>
              <w:szCs w:val="22"/>
            </w:rPr>
          </w:pPr>
          <w:hyperlink w:anchor="_Toc352854197" w:history="1">
            <w:r w:rsidR="002A2ABB" w:rsidRPr="00227AFD">
              <w:rPr>
                <w:rStyle w:val="Hyperlink"/>
                <w:noProof/>
              </w:rPr>
              <w:t>Funding of Infrastructure</w:t>
            </w:r>
            <w:r w:rsidR="002A2ABB">
              <w:rPr>
                <w:noProof/>
                <w:webHidden/>
              </w:rPr>
              <w:tab/>
            </w:r>
            <w:r w:rsidR="002A2ABB">
              <w:rPr>
                <w:noProof/>
                <w:webHidden/>
              </w:rPr>
              <w:fldChar w:fldCharType="begin"/>
            </w:r>
            <w:r w:rsidR="002A2ABB">
              <w:rPr>
                <w:noProof/>
                <w:webHidden/>
              </w:rPr>
              <w:instrText xml:space="preserve"> PAGEREF _Toc352854197 \h </w:instrText>
            </w:r>
            <w:r w:rsidR="002A2ABB">
              <w:rPr>
                <w:noProof/>
                <w:webHidden/>
              </w:rPr>
            </w:r>
            <w:r w:rsidR="002A2ABB">
              <w:rPr>
                <w:noProof/>
                <w:webHidden/>
              </w:rPr>
              <w:fldChar w:fldCharType="separate"/>
            </w:r>
            <w:r>
              <w:rPr>
                <w:noProof/>
                <w:webHidden/>
              </w:rPr>
              <w:t>30</w:t>
            </w:r>
            <w:r w:rsidR="002A2ABB">
              <w:rPr>
                <w:noProof/>
                <w:webHidden/>
              </w:rPr>
              <w:fldChar w:fldCharType="end"/>
            </w:r>
          </w:hyperlink>
        </w:p>
        <w:p w:rsidR="002A2ABB" w:rsidRDefault="00E01A3B">
          <w:pPr>
            <w:pStyle w:val="TOC2"/>
            <w:tabs>
              <w:tab w:val="right" w:leader="dot" w:pos="9350"/>
            </w:tabs>
            <w:rPr>
              <w:rFonts w:eastAsiaTheme="minorEastAsia" w:cstheme="minorBidi"/>
              <w:smallCaps w:val="0"/>
              <w:noProof/>
              <w:sz w:val="22"/>
              <w:szCs w:val="22"/>
            </w:rPr>
          </w:pPr>
          <w:hyperlink w:anchor="_Toc352854198" w:history="1">
            <w:r w:rsidR="002A2ABB" w:rsidRPr="00227AFD">
              <w:rPr>
                <w:rStyle w:val="Hyperlink"/>
                <w:noProof/>
              </w:rPr>
              <w:t>California</w:t>
            </w:r>
            <w:r w:rsidR="002A2ABB">
              <w:rPr>
                <w:noProof/>
                <w:webHidden/>
              </w:rPr>
              <w:tab/>
            </w:r>
            <w:r w:rsidR="002A2ABB">
              <w:rPr>
                <w:noProof/>
                <w:webHidden/>
              </w:rPr>
              <w:fldChar w:fldCharType="begin"/>
            </w:r>
            <w:r w:rsidR="002A2ABB">
              <w:rPr>
                <w:noProof/>
                <w:webHidden/>
              </w:rPr>
              <w:instrText xml:space="preserve"> PAGEREF _Toc352854198 \h </w:instrText>
            </w:r>
            <w:r w:rsidR="002A2ABB">
              <w:rPr>
                <w:noProof/>
                <w:webHidden/>
              </w:rPr>
            </w:r>
            <w:r w:rsidR="002A2ABB">
              <w:rPr>
                <w:noProof/>
                <w:webHidden/>
              </w:rPr>
              <w:fldChar w:fldCharType="separate"/>
            </w:r>
            <w:r>
              <w:rPr>
                <w:noProof/>
                <w:webHidden/>
              </w:rPr>
              <w:t>30</w:t>
            </w:r>
            <w:r w:rsidR="002A2ABB">
              <w:rPr>
                <w:noProof/>
                <w:webHidden/>
              </w:rPr>
              <w:fldChar w:fldCharType="end"/>
            </w:r>
          </w:hyperlink>
        </w:p>
        <w:p w:rsidR="002A2ABB" w:rsidRDefault="00E01A3B">
          <w:pPr>
            <w:pStyle w:val="TOC3"/>
            <w:tabs>
              <w:tab w:val="right" w:leader="dot" w:pos="9350"/>
            </w:tabs>
            <w:rPr>
              <w:rFonts w:eastAsiaTheme="minorEastAsia" w:cstheme="minorBidi"/>
              <w:i w:val="0"/>
              <w:iCs w:val="0"/>
              <w:noProof/>
              <w:sz w:val="22"/>
              <w:szCs w:val="22"/>
            </w:rPr>
          </w:pPr>
          <w:hyperlink w:anchor="_Toc352854199" w:history="1">
            <w:r w:rsidR="002A2ABB" w:rsidRPr="00227AFD">
              <w:rPr>
                <w:rStyle w:val="Hyperlink"/>
                <w:noProof/>
              </w:rPr>
              <w:t>AFV Policies</w:t>
            </w:r>
            <w:r w:rsidR="002A2ABB">
              <w:rPr>
                <w:noProof/>
                <w:webHidden/>
              </w:rPr>
              <w:tab/>
            </w:r>
            <w:r w:rsidR="002A2ABB">
              <w:rPr>
                <w:noProof/>
                <w:webHidden/>
              </w:rPr>
              <w:fldChar w:fldCharType="begin"/>
            </w:r>
            <w:r w:rsidR="002A2ABB">
              <w:rPr>
                <w:noProof/>
                <w:webHidden/>
              </w:rPr>
              <w:instrText xml:space="preserve"> PAGEREF _Toc352854199 \h </w:instrText>
            </w:r>
            <w:r w:rsidR="002A2ABB">
              <w:rPr>
                <w:noProof/>
                <w:webHidden/>
              </w:rPr>
            </w:r>
            <w:r w:rsidR="002A2ABB">
              <w:rPr>
                <w:noProof/>
                <w:webHidden/>
              </w:rPr>
              <w:fldChar w:fldCharType="separate"/>
            </w:r>
            <w:r>
              <w:rPr>
                <w:noProof/>
                <w:webHidden/>
              </w:rPr>
              <w:t>31</w:t>
            </w:r>
            <w:r w:rsidR="002A2ABB">
              <w:rPr>
                <w:noProof/>
                <w:webHidden/>
              </w:rPr>
              <w:fldChar w:fldCharType="end"/>
            </w:r>
          </w:hyperlink>
        </w:p>
        <w:p w:rsidR="002A2ABB" w:rsidRDefault="00E01A3B">
          <w:pPr>
            <w:pStyle w:val="TOC1"/>
            <w:rPr>
              <w:rFonts w:eastAsiaTheme="minorEastAsia" w:cstheme="minorBidi"/>
              <w:bCs w:val="0"/>
              <w:sz w:val="22"/>
              <w:szCs w:val="22"/>
            </w:rPr>
          </w:pPr>
          <w:hyperlink w:anchor="_Toc352854200" w:history="1">
            <w:r w:rsidR="002A2ABB" w:rsidRPr="00227AFD">
              <w:rPr>
                <w:rStyle w:val="Hyperlink"/>
              </w:rPr>
              <w:t>FUTURE INFRASTRUCTURE INVESTMENT</w:t>
            </w:r>
            <w:r w:rsidR="002A2ABB">
              <w:rPr>
                <w:webHidden/>
              </w:rPr>
              <w:tab/>
            </w:r>
            <w:r w:rsidR="002A2ABB">
              <w:rPr>
                <w:webHidden/>
              </w:rPr>
              <w:fldChar w:fldCharType="begin"/>
            </w:r>
            <w:r w:rsidR="002A2ABB">
              <w:rPr>
                <w:webHidden/>
              </w:rPr>
              <w:instrText xml:space="preserve"> PAGEREF _Toc352854200 \h </w:instrText>
            </w:r>
            <w:r w:rsidR="002A2ABB">
              <w:rPr>
                <w:webHidden/>
              </w:rPr>
            </w:r>
            <w:r w:rsidR="002A2ABB">
              <w:rPr>
                <w:webHidden/>
              </w:rPr>
              <w:fldChar w:fldCharType="separate"/>
            </w:r>
            <w:r>
              <w:rPr>
                <w:webHidden/>
              </w:rPr>
              <w:t>33</w:t>
            </w:r>
            <w:r w:rsidR="002A2ABB">
              <w:rPr>
                <w:webHidden/>
              </w:rPr>
              <w:fldChar w:fldCharType="end"/>
            </w:r>
          </w:hyperlink>
        </w:p>
        <w:p w:rsidR="002A2ABB" w:rsidRDefault="00E01A3B">
          <w:pPr>
            <w:pStyle w:val="TOC2"/>
            <w:tabs>
              <w:tab w:val="right" w:leader="dot" w:pos="9350"/>
            </w:tabs>
            <w:rPr>
              <w:rFonts w:eastAsiaTheme="minorEastAsia" w:cstheme="minorBidi"/>
              <w:smallCaps w:val="0"/>
              <w:noProof/>
              <w:sz w:val="22"/>
              <w:szCs w:val="22"/>
            </w:rPr>
          </w:pPr>
          <w:hyperlink w:anchor="_Toc352854201" w:history="1">
            <w:r w:rsidR="002A2ABB" w:rsidRPr="00227AFD">
              <w:rPr>
                <w:rStyle w:val="Hyperlink"/>
                <w:noProof/>
              </w:rPr>
              <w:t>Clean Fuels Outlet Regulation</w:t>
            </w:r>
            <w:r w:rsidR="002A2ABB">
              <w:rPr>
                <w:noProof/>
                <w:webHidden/>
              </w:rPr>
              <w:tab/>
            </w:r>
            <w:r w:rsidR="002A2ABB">
              <w:rPr>
                <w:noProof/>
                <w:webHidden/>
              </w:rPr>
              <w:fldChar w:fldCharType="begin"/>
            </w:r>
            <w:r w:rsidR="002A2ABB">
              <w:rPr>
                <w:noProof/>
                <w:webHidden/>
              </w:rPr>
              <w:instrText xml:space="preserve"> PAGEREF _Toc352854201 \h </w:instrText>
            </w:r>
            <w:r w:rsidR="002A2ABB">
              <w:rPr>
                <w:noProof/>
                <w:webHidden/>
              </w:rPr>
            </w:r>
            <w:r w:rsidR="002A2ABB">
              <w:rPr>
                <w:noProof/>
                <w:webHidden/>
              </w:rPr>
              <w:fldChar w:fldCharType="separate"/>
            </w:r>
            <w:r>
              <w:rPr>
                <w:noProof/>
                <w:webHidden/>
              </w:rPr>
              <w:t>33</w:t>
            </w:r>
            <w:r w:rsidR="002A2ABB">
              <w:rPr>
                <w:noProof/>
                <w:webHidden/>
              </w:rPr>
              <w:fldChar w:fldCharType="end"/>
            </w:r>
          </w:hyperlink>
        </w:p>
        <w:p w:rsidR="002A2ABB" w:rsidRDefault="00E01A3B">
          <w:pPr>
            <w:pStyle w:val="TOC2"/>
            <w:tabs>
              <w:tab w:val="right" w:leader="dot" w:pos="9350"/>
            </w:tabs>
            <w:rPr>
              <w:rFonts w:eastAsiaTheme="minorEastAsia" w:cstheme="minorBidi"/>
              <w:smallCaps w:val="0"/>
              <w:noProof/>
              <w:sz w:val="22"/>
              <w:szCs w:val="22"/>
            </w:rPr>
          </w:pPr>
          <w:hyperlink w:anchor="_Toc352854202" w:history="1">
            <w:r w:rsidR="002A2ABB" w:rsidRPr="00227AFD">
              <w:rPr>
                <w:rStyle w:val="Hyperlink"/>
                <w:noProof/>
              </w:rPr>
              <w:t>Required Infrastructure</w:t>
            </w:r>
            <w:r w:rsidR="002A2ABB">
              <w:rPr>
                <w:noProof/>
                <w:webHidden/>
              </w:rPr>
              <w:tab/>
            </w:r>
            <w:r w:rsidR="002A2ABB">
              <w:rPr>
                <w:noProof/>
                <w:webHidden/>
              </w:rPr>
              <w:fldChar w:fldCharType="begin"/>
            </w:r>
            <w:r w:rsidR="002A2ABB">
              <w:rPr>
                <w:noProof/>
                <w:webHidden/>
              </w:rPr>
              <w:instrText xml:space="preserve"> PAGEREF _Toc352854202 \h </w:instrText>
            </w:r>
            <w:r w:rsidR="002A2ABB">
              <w:rPr>
                <w:noProof/>
                <w:webHidden/>
              </w:rPr>
            </w:r>
            <w:r w:rsidR="002A2ABB">
              <w:rPr>
                <w:noProof/>
                <w:webHidden/>
              </w:rPr>
              <w:fldChar w:fldCharType="separate"/>
            </w:r>
            <w:r>
              <w:rPr>
                <w:noProof/>
                <w:webHidden/>
              </w:rPr>
              <w:t>34</w:t>
            </w:r>
            <w:r w:rsidR="002A2ABB">
              <w:rPr>
                <w:noProof/>
                <w:webHidden/>
              </w:rPr>
              <w:fldChar w:fldCharType="end"/>
            </w:r>
          </w:hyperlink>
        </w:p>
        <w:p w:rsidR="002A2ABB" w:rsidRDefault="00E01A3B">
          <w:pPr>
            <w:pStyle w:val="TOC2"/>
            <w:tabs>
              <w:tab w:val="right" w:leader="dot" w:pos="9350"/>
            </w:tabs>
            <w:rPr>
              <w:rFonts w:eastAsiaTheme="minorEastAsia" w:cstheme="minorBidi"/>
              <w:smallCaps w:val="0"/>
              <w:noProof/>
              <w:sz w:val="22"/>
              <w:szCs w:val="22"/>
            </w:rPr>
          </w:pPr>
          <w:hyperlink w:anchor="_Toc352854203" w:history="1">
            <w:r w:rsidR="002A2ABB" w:rsidRPr="00227AFD">
              <w:rPr>
                <w:rStyle w:val="Hyperlink"/>
                <w:noProof/>
              </w:rPr>
              <w:t>Comparison of Infrastructure Costs to Other Estimates</w:t>
            </w:r>
            <w:r w:rsidR="002A2ABB">
              <w:rPr>
                <w:noProof/>
                <w:webHidden/>
              </w:rPr>
              <w:tab/>
            </w:r>
            <w:r w:rsidR="002A2ABB">
              <w:rPr>
                <w:noProof/>
                <w:webHidden/>
              </w:rPr>
              <w:fldChar w:fldCharType="begin"/>
            </w:r>
            <w:r w:rsidR="002A2ABB">
              <w:rPr>
                <w:noProof/>
                <w:webHidden/>
              </w:rPr>
              <w:instrText xml:space="preserve"> PAGEREF _Toc352854203 \h </w:instrText>
            </w:r>
            <w:r w:rsidR="002A2ABB">
              <w:rPr>
                <w:noProof/>
                <w:webHidden/>
              </w:rPr>
            </w:r>
            <w:r w:rsidR="002A2ABB">
              <w:rPr>
                <w:noProof/>
                <w:webHidden/>
              </w:rPr>
              <w:fldChar w:fldCharType="separate"/>
            </w:r>
            <w:r>
              <w:rPr>
                <w:noProof/>
                <w:webHidden/>
              </w:rPr>
              <w:t>37</w:t>
            </w:r>
            <w:r w:rsidR="002A2ABB">
              <w:rPr>
                <w:noProof/>
                <w:webHidden/>
              </w:rPr>
              <w:fldChar w:fldCharType="end"/>
            </w:r>
          </w:hyperlink>
        </w:p>
        <w:p w:rsidR="002A2ABB" w:rsidRDefault="00E01A3B">
          <w:pPr>
            <w:pStyle w:val="TOC2"/>
            <w:tabs>
              <w:tab w:val="right" w:leader="dot" w:pos="9350"/>
            </w:tabs>
            <w:rPr>
              <w:rFonts w:eastAsiaTheme="minorEastAsia" w:cstheme="minorBidi"/>
              <w:smallCaps w:val="0"/>
              <w:noProof/>
              <w:sz w:val="22"/>
              <w:szCs w:val="22"/>
            </w:rPr>
          </w:pPr>
          <w:hyperlink w:anchor="_Toc352854204" w:history="1">
            <w:r w:rsidR="002A2ABB" w:rsidRPr="00227AFD">
              <w:rPr>
                <w:rStyle w:val="Hyperlink"/>
                <w:noProof/>
              </w:rPr>
              <w:t>Infrastructure Estimates by Country</w:t>
            </w:r>
            <w:r w:rsidR="002A2ABB">
              <w:rPr>
                <w:noProof/>
                <w:webHidden/>
              </w:rPr>
              <w:tab/>
            </w:r>
            <w:r w:rsidR="002A2ABB">
              <w:rPr>
                <w:noProof/>
                <w:webHidden/>
              </w:rPr>
              <w:fldChar w:fldCharType="begin"/>
            </w:r>
            <w:r w:rsidR="002A2ABB">
              <w:rPr>
                <w:noProof/>
                <w:webHidden/>
              </w:rPr>
              <w:instrText xml:space="preserve"> PAGEREF _Toc352854204 \h </w:instrText>
            </w:r>
            <w:r w:rsidR="002A2ABB">
              <w:rPr>
                <w:noProof/>
                <w:webHidden/>
              </w:rPr>
            </w:r>
            <w:r w:rsidR="002A2ABB">
              <w:rPr>
                <w:noProof/>
                <w:webHidden/>
              </w:rPr>
              <w:fldChar w:fldCharType="separate"/>
            </w:r>
            <w:r>
              <w:rPr>
                <w:noProof/>
                <w:webHidden/>
              </w:rPr>
              <w:t>39</w:t>
            </w:r>
            <w:r w:rsidR="002A2ABB">
              <w:rPr>
                <w:noProof/>
                <w:webHidden/>
              </w:rPr>
              <w:fldChar w:fldCharType="end"/>
            </w:r>
          </w:hyperlink>
        </w:p>
        <w:p w:rsidR="002A2ABB" w:rsidRDefault="00E01A3B">
          <w:pPr>
            <w:pStyle w:val="TOC2"/>
            <w:tabs>
              <w:tab w:val="right" w:leader="dot" w:pos="9350"/>
            </w:tabs>
            <w:rPr>
              <w:rFonts w:eastAsiaTheme="minorEastAsia" w:cstheme="minorBidi"/>
              <w:smallCaps w:val="0"/>
              <w:noProof/>
              <w:sz w:val="22"/>
              <w:szCs w:val="22"/>
            </w:rPr>
          </w:pPr>
          <w:hyperlink w:anchor="_Toc352854205" w:history="1">
            <w:r w:rsidR="002A2ABB" w:rsidRPr="00227AFD">
              <w:rPr>
                <w:rStyle w:val="Hyperlink"/>
                <w:noProof/>
              </w:rPr>
              <w:t>Gap between Current Investment and 2030 Investment</w:t>
            </w:r>
            <w:r w:rsidR="002A2ABB">
              <w:rPr>
                <w:noProof/>
                <w:webHidden/>
              </w:rPr>
              <w:tab/>
            </w:r>
            <w:r w:rsidR="002A2ABB">
              <w:rPr>
                <w:noProof/>
                <w:webHidden/>
              </w:rPr>
              <w:fldChar w:fldCharType="begin"/>
            </w:r>
            <w:r w:rsidR="002A2ABB">
              <w:rPr>
                <w:noProof/>
                <w:webHidden/>
              </w:rPr>
              <w:instrText xml:space="preserve"> PAGEREF _Toc352854205 \h </w:instrText>
            </w:r>
            <w:r w:rsidR="002A2ABB">
              <w:rPr>
                <w:noProof/>
                <w:webHidden/>
              </w:rPr>
            </w:r>
            <w:r w:rsidR="002A2ABB">
              <w:rPr>
                <w:noProof/>
                <w:webHidden/>
              </w:rPr>
              <w:fldChar w:fldCharType="separate"/>
            </w:r>
            <w:r>
              <w:rPr>
                <w:noProof/>
                <w:webHidden/>
              </w:rPr>
              <w:t>42</w:t>
            </w:r>
            <w:r w:rsidR="002A2ABB">
              <w:rPr>
                <w:noProof/>
                <w:webHidden/>
              </w:rPr>
              <w:fldChar w:fldCharType="end"/>
            </w:r>
          </w:hyperlink>
        </w:p>
        <w:p w:rsidR="002A2ABB" w:rsidRDefault="00E01A3B">
          <w:pPr>
            <w:pStyle w:val="TOC1"/>
            <w:rPr>
              <w:rFonts w:eastAsiaTheme="minorEastAsia" w:cstheme="minorBidi"/>
              <w:bCs w:val="0"/>
              <w:sz w:val="22"/>
              <w:szCs w:val="22"/>
            </w:rPr>
          </w:pPr>
          <w:hyperlink w:anchor="_Toc352854206" w:history="1">
            <w:r w:rsidR="002A2ABB" w:rsidRPr="00227AFD">
              <w:rPr>
                <w:rStyle w:val="Hyperlink"/>
              </w:rPr>
              <w:t>FINANCING MODELS TO SUPPORT INFRASTRUCTURE INVESTMENT</w:t>
            </w:r>
            <w:r w:rsidR="002A2ABB">
              <w:rPr>
                <w:webHidden/>
              </w:rPr>
              <w:tab/>
            </w:r>
            <w:r w:rsidR="002A2ABB">
              <w:rPr>
                <w:webHidden/>
              </w:rPr>
              <w:fldChar w:fldCharType="begin"/>
            </w:r>
            <w:r w:rsidR="002A2ABB">
              <w:rPr>
                <w:webHidden/>
              </w:rPr>
              <w:instrText xml:space="preserve"> PAGEREF _Toc352854206 \h </w:instrText>
            </w:r>
            <w:r w:rsidR="002A2ABB">
              <w:rPr>
                <w:webHidden/>
              </w:rPr>
            </w:r>
            <w:r w:rsidR="002A2ABB">
              <w:rPr>
                <w:webHidden/>
              </w:rPr>
              <w:fldChar w:fldCharType="separate"/>
            </w:r>
            <w:r>
              <w:rPr>
                <w:webHidden/>
              </w:rPr>
              <w:t>45</w:t>
            </w:r>
            <w:r w:rsidR="002A2ABB">
              <w:rPr>
                <w:webHidden/>
              </w:rPr>
              <w:fldChar w:fldCharType="end"/>
            </w:r>
          </w:hyperlink>
        </w:p>
        <w:p w:rsidR="002A2ABB" w:rsidRDefault="00E01A3B">
          <w:pPr>
            <w:pStyle w:val="TOC2"/>
            <w:tabs>
              <w:tab w:val="right" w:leader="dot" w:pos="9350"/>
            </w:tabs>
            <w:rPr>
              <w:rFonts w:eastAsiaTheme="minorEastAsia" w:cstheme="minorBidi"/>
              <w:smallCaps w:val="0"/>
              <w:noProof/>
              <w:sz w:val="22"/>
              <w:szCs w:val="22"/>
            </w:rPr>
          </w:pPr>
          <w:hyperlink w:anchor="_Toc352854207" w:history="1">
            <w:r w:rsidR="002A2ABB" w:rsidRPr="00227AFD">
              <w:rPr>
                <w:rStyle w:val="Hyperlink"/>
                <w:noProof/>
              </w:rPr>
              <w:t>Public Support</w:t>
            </w:r>
            <w:r w:rsidR="002A2ABB">
              <w:rPr>
                <w:noProof/>
                <w:webHidden/>
              </w:rPr>
              <w:tab/>
            </w:r>
            <w:r w:rsidR="002A2ABB">
              <w:rPr>
                <w:noProof/>
                <w:webHidden/>
              </w:rPr>
              <w:fldChar w:fldCharType="begin"/>
            </w:r>
            <w:r w:rsidR="002A2ABB">
              <w:rPr>
                <w:noProof/>
                <w:webHidden/>
              </w:rPr>
              <w:instrText xml:space="preserve"> PAGEREF _Toc352854207 \h </w:instrText>
            </w:r>
            <w:r w:rsidR="002A2ABB">
              <w:rPr>
                <w:noProof/>
                <w:webHidden/>
              </w:rPr>
            </w:r>
            <w:r w:rsidR="002A2ABB">
              <w:rPr>
                <w:noProof/>
                <w:webHidden/>
              </w:rPr>
              <w:fldChar w:fldCharType="separate"/>
            </w:r>
            <w:r>
              <w:rPr>
                <w:noProof/>
                <w:webHidden/>
              </w:rPr>
              <w:t>46</w:t>
            </w:r>
            <w:r w:rsidR="002A2ABB">
              <w:rPr>
                <w:noProof/>
                <w:webHidden/>
              </w:rPr>
              <w:fldChar w:fldCharType="end"/>
            </w:r>
          </w:hyperlink>
        </w:p>
        <w:p w:rsidR="002A2ABB" w:rsidRDefault="00E01A3B">
          <w:pPr>
            <w:pStyle w:val="TOC3"/>
            <w:tabs>
              <w:tab w:val="right" w:leader="dot" w:pos="9350"/>
            </w:tabs>
            <w:rPr>
              <w:rFonts w:eastAsiaTheme="minorEastAsia" w:cstheme="minorBidi"/>
              <w:i w:val="0"/>
              <w:iCs w:val="0"/>
              <w:noProof/>
              <w:sz w:val="22"/>
              <w:szCs w:val="22"/>
            </w:rPr>
          </w:pPr>
          <w:hyperlink w:anchor="_Toc352854208" w:history="1">
            <w:r w:rsidR="002A2ABB" w:rsidRPr="00227AFD">
              <w:rPr>
                <w:rStyle w:val="Hyperlink"/>
                <w:noProof/>
              </w:rPr>
              <w:t>Direct Government Expenditures</w:t>
            </w:r>
            <w:r w:rsidR="002A2ABB">
              <w:rPr>
                <w:noProof/>
                <w:webHidden/>
              </w:rPr>
              <w:tab/>
            </w:r>
            <w:r w:rsidR="002A2ABB">
              <w:rPr>
                <w:noProof/>
                <w:webHidden/>
              </w:rPr>
              <w:fldChar w:fldCharType="begin"/>
            </w:r>
            <w:r w:rsidR="002A2ABB">
              <w:rPr>
                <w:noProof/>
                <w:webHidden/>
              </w:rPr>
              <w:instrText xml:space="preserve"> PAGEREF _Toc352854208 \h </w:instrText>
            </w:r>
            <w:r w:rsidR="002A2ABB">
              <w:rPr>
                <w:noProof/>
                <w:webHidden/>
              </w:rPr>
            </w:r>
            <w:r w:rsidR="002A2ABB">
              <w:rPr>
                <w:noProof/>
                <w:webHidden/>
              </w:rPr>
              <w:fldChar w:fldCharType="separate"/>
            </w:r>
            <w:r>
              <w:rPr>
                <w:noProof/>
                <w:webHidden/>
              </w:rPr>
              <w:t>46</w:t>
            </w:r>
            <w:r w:rsidR="002A2ABB">
              <w:rPr>
                <w:noProof/>
                <w:webHidden/>
              </w:rPr>
              <w:fldChar w:fldCharType="end"/>
            </w:r>
          </w:hyperlink>
        </w:p>
        <w:p w:rsidR="002A2ABB" w:rsidRDefault="00E01A3B">
          <w:pPr>
            <w:pStyle w:val="TOC3"/>
            <w:tabs>
              <w:tab w:val="right" w:leader="dot" w:pos="9350"/>
            </w:tabs>
            <w:rPr>
              <w:rFonts w:eastAsiaTheme="minorEastAsia" w:cstheme="minorBidi"/>
              <w:i w:val="0"/>
              <w:iCs w:val="0"/>
              <w:noProof/>
              <w:sz w:val="22"/>
              <w:szCs w:val="22"/>
            </w:rPr>
          </w:pPr>
          <w:hyperlink w:anchor="_Toc352854209" w:history="1">
            <w:r w:rsidR="002A2ABB" w:rsidRPr="00227AFD">
              <w:rPr>
                <w:rStyle w:val="Hyperlink"/>
                <w:noProof/>
              </w:rPr>
              <w:t>Municipal Bonds</w:t>
            </w:r>
            <w:r w:rsidR="002A2ABB">
              <w:rPr>
                <w:noProof/>
                <w:webHidden/>
              </w:rPr>
              <w:tab/>
            </w:r>
            <w:r w:rsidR="002A2ABB">
              <w:rPr>
                <w:noProof/>
                <w:webHidden/>
              </w:rPr>
              <w:fldChar w:fldCharType="begin"/>
            </w:r>
            <w:r w:rsidR="002A2ABB">
              <w:rPr>
                <w:noProof/>
                <w:webHidden/>
              </w:rPr>
              <w:instrText xml:space="preserve"> PAGEREF _Toc352854209 \h </w:instrText>
            </w:r>
            <w:r w:rsidR="002A2ABB">
              <w:rPr>
                <w:noProof/>
                <w:webHidden/>
              </w:rPr>
            </w:r>
            <w:r w:rsidR="002A2ABB">
              <w:rPr>
                <w:noProof/>
                <w:webHidden/>
              </w:rPr>
              <w:fldChar w:fldCharType="separate"/>
            </w:r>
            <w:r>
              <w:rPr>
                <w:noProof/>
                <w:webHidden/>
              </w:rPr>
              <w:t>47</w:t>
            </w:r>
            <w:r w:rsidR="002A2ABB">
              <w:rPr>
                <w:noProof/>
                <w:webHidden/>
              </w:rPr>
              <w:fldChar w:fldCharType="end"/>
            </w:r>
          </w:hyperlink>
        </w:p>
        <w:p w:rsidR="002A2ABB" w:rsidRDefault="00E01A3B">
          <w:pPr>
            <w:pStyle w:val="TOC3"/>
            <w:tabs>
              <w:tab w:val="right" w:leader="dot" w:pos="9350"/>
            </w:tabs>
            <w:rPr>
              <w:rFonts w:eastAsiaTheme="minorEastAsia" w:cstheme="minorBidi"/>
              <w:i w:val="0"/>
              <w:iCs w:val="0"/>
              <w:noProof/>
              <w:sz w:val="22"/>
              <w:szCs w:val="22"/>
            </w:rPr>
          </w:pPr>
          <w:hyperlink w:anchor="_Toc352854210" w:history="1">
            <w:r w:rsidR="002A2ABB" w:rsidRPr="00227AFD">
              <w:rPr>
                <w:rStyle w:val="Hyperlink"/>
                <w:noProof/>
              </w:rPr>
              <w:t>Subsidies</w:t>
            </w:r>
            <w:r w:rsidR="002A2ABB">
              <w:rPr>
                <w:noProof/>
                <w:webHidden/>
              </w:rPr>
              <w:tab/>
            </w:r>
            <w:r w:rsidR="002A2ABB">
              <w:rPr>
                <w:noProof/>
                <w:webHidden/>
              </w:rPr>
              <w:fldChar w:fldCharType="begin"/>
            </w:r>
            <w:r w:rsidR="002A2ABB">
              <w:rPr>
                <w:noProof/>
                <w:webHidden/>
              </w:rPr>
              <w:instrText xml:space="preserve"> PAGEREF _Toc352854210 \h </w:instrText>
            </w:r>
            <w:r w:rsidR="002A2ABB">
              <w:rPr>
                <w:noProof/>
                <w:webHidden/>
              </w:rPr>
            </w:r>
            <w:r w:rsidR="002A2ABB">
              <w:rPr>
                <w:noProof/>
                <w:webHidden/>
              </w:rPr>
              <w:fldChar w:fldCharType="separate"/>
            </w:r>
            <w:r>
              <w:rPr>
                <w:noProof/>
                <w:webHidden/>
              </w:rPr>
              <w:t>47</w:t>
            </w:r>
            <w:r w:rsidR="002A2ABB">
              <w:rPr>
                <w:noProof/>
                <w:webHidden/>
              </w:rPr>
              <w:fldChar w:fldCharType="end"/>
            </w:r>
          </w:hyperlink>
        </w:p>
        <w:p w:rsidR="002A2ABB" w:rsidRDefault="00E01A3B">
          <w:pPr>
            <w:pStyle w:val="TOC3"/>
            <w:tabs>
              <w:tab w:val="right" w:leader="dot" w:pos="9350"/>
            </w:tabs>
            <w:rPr>
              <w:rFonts w:eastAsiaTheme="minorEastAsia" w:cstheme="minorBidi"/>
              <w:i w:val="0"/>
              <w:iCs w:val="0"/>
              <w:noProof/>
              <w:sz w:val="22"/>
              <w:szCs w:val="22"/>
            </w:rPr>
          </w:pPr>
          <w:hyperlink w:anchor="_Toc352854211" w:history="1">
            <w:r w:rsidR="002A2ABB" w:rsidRPr="00227AFD">
              <w:rPr>
                <w:rStyle w:val="Hyperlink"/>
                <w:noProof/>
              </w:rPr>
              <w:t>Regulatory Policies</w:t>
            </w:r>
            <w:r w:rsidR="002A2ABB">
              <w:rPr>
                <w:noProof/>
                <w:webHidden/>
              </w:rPr>
              <w:tab/>
            </w:r>
            <w:r w:rsidR="002A2ABB">
              <w:rPr>
                <w:noProof/>
                <w:webHidden/>
              </w:rPr>
              <w:fldChar w:fldCharType="begin"/>
            </w:r>
            <w:r w:rsidR="002A2ABB">
              <w:rPr>
                <w:noProof/>
                <w:webHidden/>
              </w:rPr>
              <w:instrText xml:space="preserve"> PAGEREF _Toc352854211 \h </w:instrText>
            </w:r>
            <w:r w:rsidR="002A2ABB">
              <w:rPr>
                <w:noProof/>
                <w:webHidden/>
              </w:rPr>
            </w:r>
            <w:r w:rsidR="002A2ABB">
              <w:rPr>
                <w:noProof/>
                <w:webHidden/>
              </w:rPr>
              <w:fldChar w:fldCharType="separate"/>
            </w:r>
            <w:r>
              <w:rPr>
                <w:noProof/>
                <w:webHidden/>
              </w:rPr>
              <w:t>48</w:t>
            </w:r>
            <w:r w:rsidR="002A2ABB">
              <w:rPr>
                <w:noProof/>
                <w:webHidden/>
              </w:rPr>
              <w:fldChar w:fldCharType="end"/>
            </w:r>
          </w:hyperlink>
        </w:p>
        <w:p w:rsidR="002A2ABB" w:rsidRDefault="00E01A3B">
          <w:pPr>
            <w:pStyle w:val="TOC2"/>
            <w:tabs>
              <w:tab w:val="right" w:leader="dot" w:pos="9350"/>
            </w:tabs>
            <w:rPr>
              <w:rFonts w:eastAsiaTheme="minorEastAsia" w:cstheme="minorBidi"/>
              <w:smallCaps w:val="0"/>
              <w:noProof/>
              <w:sz w:val="22"/>
              <w:szCs w:val="22"/>
            </w:rPr>
          </w:pPr>
          <w:hyperlink w:anchor="_Toc352854212" w:history="1">
            <w:r w:rsidR="002A2ABB" w:rsidRPr="00227AFD">
              <w:rPr>
                <w:rStyle w:val="Hyperlink"/>
                <w:noProof/>
              </w:rPr>
              <w:t>Infrastructure Development Banks</w:t>
            </w:r>
            <w:r w:rsidR="002A2ABB">
              <w:rPr>
                <w:noProof/>
                <w:webHidden/>
              </w:rPr>
              <w:tab/>
            </w:r>
            <w:r w:rsidR="002A2ABB">
              <w:rPr>
                <w:noProof/>
                <w:webHidden/>
              </w:rPr>
              <w:fldChar w:fldCharType="begin"/>
            </w:r>
            <w:r w:rsidR="002A2ABB">
              <w:rPr>
                <w:noProof/>
                <w:webHidden/>
              </w:rPr>
              <w:instrText xml:space="preserve"> PAGEREF _Toc352854212 \h </w:instrText>
            </w:r>
            <w:r w:rsidR="002A2ABB">
              <w:rPr>
                <w:noProof/>
                <w:webHidden/>
              </w:rPr>
            </w:r>
            <w:r w:rsidR="002A2ABB">
              <w:rPr>
                <w:noProof/>
                <w:webHidden/>
              </w:rPr>
              <w:fldChar w:fldCharType="separate"/>
            </w:r>
            <w:r>
              <w:rPr>
                <w:noProof/>
                <w:webHidden/>
              </w:rPr>
              <w:t>49</w:t>
            </w:r>
            <w:r w:rsidR="002A2ABB">
              <w:rPr>
                <w:noProof/>
                <w:webHidden/>
              </w:rPr>
              <w:fldChar w:fldCharType="end"/>
            </w:r>
          </w:hyperlink>
        </w:p>
        <w:p w:rsidR="002A2ABB" w:rsidRDefault="00E01A3B">
          <w:pPr>
            <w:pStyle w:val="TOC2"/>
            <w:tabs>
              <w:tab w:val="right" w:leader="dot" w:pos="9350"/>
            </w:tabs>
            <w:rPr>
              <w:rFonts w:eastAsiaTheme="minorEastAsia" w:cstheme="minorBidi"/>
              <w:smallCaps w:val="0"/>
              <w:noProof/>
              <w:sz w:val="22"/>
              <w:szCs w:val="22"/>
            </w:rPr>
          </w:pPr>
          <w:hyperlink w:anchor="_Toc352854213" w:history="1">
            <w:r w:rsidR="002A2ABB" w:rsidRPr="00227AFD">
              <w:rPr>
                <w:rStyle w:val="Hyperlink"/>
                <w:noProof/>
              </w:rPr>
              <w:t>Public-Private Partnerships</w:t>
            </w:r>
            <w:r w:rsidR="002A2ABB">
              <w:rPr>
                <w:noProof/>
                <w:webHidden/>
              </w:rPr>
              <w:tab/>
            </w:r>
            <w:r w:rsidR="002A2ABB">
              <w:rPr>
                <w:noProof/>
                <w:webHidden/>
              </w:rPr>
              <w:fldChar w:fldCharType="begin"/>
            </w:r>
            <w:r w:rsidR="002A2ABB">
              <w:rPr>
                <w:noProof/>
                <w:webHidden/>
              </w:rPr>
              <w:instrText xml:space="preserve"> PAGEREF _Toc352854213 \h </w:instrText>
            </w:r>
            <w:r w:rsidR="002A2ABB">
              <w:rPr>
                <w:noProof/>
                <w:webHidden/>
              </w:rPr>
            </w:r>
            <w:r w:rsidR="002A2ABB">
              <w:rPr>
                <w:noProof/>
                <w:webHidden/>
              </w:rPr>
              <w:fldChar w:fldCharType="separate"/>
            </w:r>
            <w:r>
              <w:rPr>
                <w:noProof/>
                <w:webHidden/>
              </w:rPr>
              <w:t>50</w:t>
            </w:r>
            <w:r w:rsidR="002A2ABB">
              <w:rPr>
                <w:noProof/>
                <w:webHidden/>
              </w:rPr>
              <w:fldChar w:fldCharType="end"/>
            </w:r>
          </w:hyperlink>
        </w:p>
        <w:p w:rsidR="002A2ABB" w:rsidRDefault="00E01A3B">
          <w:pPr>
            <w:pStyle w:val="TOC3"/>
            <w:tabs>
              <w:tab w:val="right" w:leader="dot" w:pos="9350"/>
            </w:tabs>
            <w:rPr>
              <w:rFonts w:eastAsiaTheme="minorEastAsia" w:cstheme="minorBidi"/>
              <w:i w:val="0"/>
              <w:iCs w:val="0"/>
              <w:noProof/>
              <w:sz w:val="22"/>
              <w:szCs w:val="22"/>
            </w:rPr>
          </w:pPr>
          <w:hyperlink w:anchor="_Toc352854214" w:history="1">
            <w:r w:rsidR="002A2ABB" w:rsidRPr="00227AFD">
              <w:rPr>
                <w:rStyle w:val="Hyperlink"/>
                <w:noProof/>
              </w:rPr>
              <w:t>Collateralized Loans</w:t>
            </w:r>
            <w:r w:rsidR="002A2ABB">
              <w:rPr>
                <w:noProof/>
                <w:webHidden/>
              </w:rPr>
              <w:tab/>
            </w:r>
            <w:r w:rsidR="002A2ABB">
              <w:rPr>
                <w:noProof/>
                <w:webHidden/>
              </w:rPr>
              <w:fldChar w:fldCharType="begin"/>
            </w:r>
            <w:r w:rsidR="002A2ABB">
              <w:rPr>
                <w:noProof/>
                <w:webHidden/>
              </w:rPr>
              <w:instrText xml:space="preserve"> PAGEREF _Toc352854214 \h </w:instrText>
            </w:r>
            <w:r w:rsidR="002A2ABB">
              <w:rPr>
                <w:noProof/>
                <w:webHidden/>
              </w:rPr>
            </w:r>
            <w:r w:rsidR="002A2ABB">
              <w:rPr>
                <w:noProof/>
                <w:webHidden/>
              </w:rPr>
              <w:fldChar w:fldCharType="separate"/>
            </w:r>
            <w:r>
              <w:rPr>
                <w:noProof/>
                <w:webHidden/>
              </w:rPr>
              <w:t>51</w:t>
            </w:r>
            <w:r w:rsidR="002A2ABB">
              <w:rPr>
                <w:noProof/>
                <w:webHidden/>
              </w:rPr>
              <w:fldChar w:fldCharType="end"/>
            </w:r>
          </w:hyperlink>
        </w:p>
        <w:p w:rsidR="002A2ABB" w:rsidRDefault="00E01A3B">
          <w:pPr>
            <w:pStyle w:val="TOC3"/>
            <w:tabs>
              <w:tab w:val="right" w:leader="dot" w:pos="9350"/>
            </w:tabs>
            <w:rPr>
              <w:rFonts w:eastAsiaTheme="minorEastAsia" w:cstheme="minorBidi"/>
              <w:i w:val="0"/>
              <w:iCs w:val="0"/>
              <w:noProof/>
              <w:sz w:val="22"/>
              <w:szCs w:val="22"/>
            </w:rPr>
          </w:pPr>
          <w:hyperlink w:anchor="_Toc352854215" w:history="1">
            <w:r w:rsidR="002A2ABB" w:rsidRPr="00227AFD">
              <w:rPr>
                <w:rStyle w:val="Hyperlink"/>
                <w:noProof/>
              </w:rPr>
              <w:t>Cost-Share Grants</w:t>
            </w:r>
            <w:r w:rsidR="002A2ABB">
              <w:rPr>
                <w:noProof/>
                <w:webHidden/>
              </w:rPr>
              <w:tab/>
            </w:r>
            <w:r w:rsidR="002A2ABB">
              <w:rPr>
                <w:noProof/>
                <w:webHidden/>
              </w:rPr>
              <w:fldChar w:fldCharType="begin"/>
            </w:r>
            <w:r w:rsidR="002A2ABB">
              <w:rPr>
                <w:noProof/>
                <w:webHidden/>
              </w:rPr>
              <w:instrText xml:space="preserve"> PAGEREF _Toc352854215 \h </w:instrText>
            </w:r>
            <w:r w:rsidR="002A2ABB">
              <w:rPr>
                <w:noProof/>
                <w:webHidden/>
              </w:rPr>
            </w:r>
            <w:r w:rsidR="002A2ABB">
              <w:rPr>
                <w:noProof/>
                <w:webHidden/>
              </w:rPr>
              <w:fldChar w:fldCharType="separate"/>
            </w:r>
            <w:r>
              <w:rPr>
                <w:noProof/>
                <w:webHidden/>
              </w:rPr>
              <w:t>51</w:t>
            </w:r>
            <w:r w:rsidR="002A2ABB">
              <w:rPr>
                <w:noProof/>
                <w:webHidden/>
              </w:rPr>
              <w:fldChar w:fldCharType="end"/>
            </w:r>
          </w:hyperlink>
        </w:p>
        <w:p w:rsidR="002A2ABB" w:rsidRDefault="00E01A3B">
          <w:pPr>
            <w:pStyle w:val="TOC2"/>
            <w:tabs>
              <w:tab w:val="right" w:leader="dot" w:pos="9350"/>
            </w:tabs>
            <w:rPr>
              <w:rFonts w:eastAsiaTheme="minorEastAsia" w:cstheme="minorBidi"/>
              <w:smallCaps w:val="0"/>
              <w:noProof/>
              <w:sz w:val="22"/>
              <w:szCs w:val="22"/>
            </w:rPr>
          </w:pPr>
          <w:hyperlink w:anchor="_Toc352854216" w:history="1">
            <w:r w:rsidR="002A2ABB" w:rsidRPr="00227AFD">
              <w:rPr>
                <w:rStyle w:val="Hyperlink"/>
                <w:noProof/>
              </w:rPr>
              <w:t>Private Financing</w:t>
            </w:r>
            <w:r w:rsidR="002A2ABB">
              <w:rPr>
                <w:noProof/>
                <w:webHidden/>
              </w:rPr>
              <w:tab/>
            </w:r>
            <w:r w:rsidR="002A2ABB">
              <w:rPr>
                <w:noProof/>
                <w:webHidden/>
              </w:rPr>
              <w:fldChar w:fldCharType="begin"/>
            </w:r>
            <w:r w:rsidR="002A2ABB">
              <w:rPr>
                <w:noProof/>
                <w:webHidden/>
              </w:rPr>
              <w:instrText xml:space="preserve"> PAGEREF _Toc352854216 \h </w:instrText>
            </w:r>
            <w:r w:rsidR="002A2ABB">
              <w:rPr>
                <w:noProof/>
                <w:webHidden/>
              </w:rPr>
            </w:r>
            <w:r w:rsidR="002A2ABB">
              <w:rPr>
                <w:noProof/>
                <w:webHidden/>
              </w:rPr>
              <w:fldChar w:fldCharType="separate"/>
            </w:r>
            <w:r>
              <w:rPr>
                <w:noProof/>
                <w:webHidden/>
              </w:rPr>
              <w:t>52</w:t>
            </w:r>
            <w:r w:rsidR="002A2ABB">
              <w:rPr>
                <w:noProof/>
                <w:webHidden/>
              </w:rPr>
              <w:fldChar w:fldCharType="end"/>
            </w:r>
          </w:hyperlink>
        </w:p>
        <w:p w:rsidR="002A2ABB" w:rsidRDefault="00E01A3B">
          <w:pPr>
            <w:pStyle w:val="TOC3"/>
            <w:tabs>
              <w:tab w:val="right" w:leader="dot" w:pos="9350"/>
            </w:tabs>
            <w:rPr>
              <w:rFonts w:eastAsiaTheme="minorEastAsia" w:cstheme="minorBidi"/>
              <w:i w:val="0"/>
              <w:iCs w:val="0"/>
              <w:noProof/>
              <w:sz w:val="22"/>
              <w:szCs w:val="22"/>
            </w:rPr>
          </w:pPr>
          <w:hyperlink w:anchor="_Toc352854217" w:history="1">
            <w:r w:rsidR="002A2ABB" w:rsidRPr="00227AFD">
              <w:rPr>
                <w:rStyle w:val="Hyperlink"/>
                <w:noProof/>
              </w:rPr>
              <w:t>Surcharges and User Fees to Recoup Investment Outlays</w:t>
            </w:r>
            <w:r w:rsidR="002A2ABB">
              <w:rPr>
                <w:noProof/>
                <w:webHidden/>
              </w:rPr>
              <w:tab/>
            </w:r>
            <w:r w:rsidR="002A2ABB">
              <w:rPr>
                <w:noProof/>
                <w:webHidden/>
              </w:rPr>
              <w:fldChar w:fldCharType="begin"/>
            </w:r>
            <w:r w:rsidR="002A2ABB">
              <w:rPr>
                <w:noProof/>
                <w:webHidden/>
              </w:rPr>
              <w:instrText xml:space="preserve"> PAGEREF _Toc352854217 \h </w:instrText>
            </w:r>
            <w:r w:rsidR="002A2ABB">
              <w:rPr>
                <w:noProof/>
                <w:webHidden/>
              </w:rPr>
            </w:r>
            <w:r w:rsidR="002A2ABB">
              <w:rPr>
                <w:noProof/>
                <w:webHidden/>
              </w:rPr>
              <w:fldChar w:fldCharType="separate"/>
            </w:r>
            <w:r>
              <w:rPr>
                <w:noProof/>
                <w:webHidden/>
              </w:rPr>
              <w:t>52</w:t>
            </w:r>
            <w:r w:rsidR="002A2ABB">
              <w:rPr>
                <w:noProof/>
                <w:webHidden/>
              </w:rPr>
              <w:fldChar w:fldCharType="end"/>
            </w:r>
          </w:hyperlink>
        </w:p>
        <w:p w:rsidR="002A2ABB" w:rsidRDefault="00E01A3B">
          <w:pPr>
            <w:pStyle w:val="TOC3"/>
            <w:tabs>
              <w:tab w:val="right" w:leader="dot" w:pos="9350"/>
            </w:tabs>
            <w:rPr>
              <w:rFonts w:eastAsiaTheme="minorEastAsia" w:cstheme="minorBidi"/>
              <w:i w:val="0"/>
              <w:iCs w:val="0"/>
              <w:noProof/>
              <w:sz w:val="22"/>
              <w:szCs w:val="22"/>
            </w:rPr>
          </w:pPr>
          <w:hyperlink w:anchor="_Toc352854218" w:history="1">
            <w:r w:rsidR="002A2ABB" w:rsidRPr="00227AFD">
              <w:rPr>
                <w:rStyle w:val="Hyperlink"/>
                <w:noProof/>
              </w:rPr>
              <w:t>Green Bonds</w:t>
            </w:r>
            <w:r w:rsidR="002A2ABB">
              <w:rPr>
                <w:noProof/>
                <w:webHidden/>
              </w:rPr>
              <w:tab/>
            </w:r>
            <w:r w:rsidR="002A2ABB">
              <w:rPr>
                <w:noProof/>
                <w:webHidden/>
              </w:rPr>
              <w:fldChar w:fldCharType="begin"/>
            </w:r>
            <w:r w:rsidR="002A2ABB">
              <w:rPr>
                <w:noProof/>
                <w:webHidden/>
              </w:rPr>
              <w:instrText xml:space="preserve"> PAGEREF _Toc352854218 \h </w:instrText>
            </w:r>
            <w:r w:rsidR="002A2ABB">
              <w:rPr>
                <w:noProof/>
                <w:webHidden/>
              </w:rPr>
            </w:r>
            <w:r w:rsidR="002A2ABB">
              <w:rPr>
                <w:noProof/>
                <w:webHidden/>
              </w:rPr>
              <w:fldChar w:fldCharType="separate"/>
            </w:r>
            <w:r>
              <w:rPr>
                <w:noProof/>
                <w:webHidden/>
              </w:rPr>
              <w:t>53</w:t>
            </w:r>
            <w:r w:rsidR="002A2ABB">
              <w:rPr>
                <w:noProof/>
                <w:webHidden/>
              </w:rPr>
              <w:fldChar w:fldCharType="end"/>
            </w:r>
          </w:hyperlink>
        </w:p>
        <w:p w:rsidR="002A2ABB" w:rsidRDefault="00E01A3B">
          <w:pPr>
            <w:pStyle w:val="TOC2"/>
            <w:tabs>
              <w:tab w:val="right" w:leader="dot" w:pos="9350"/>
            </w:tabs>
            <w:rPr>
              <w:rFonts w:eastAsiaTheme="minorEastAsia" w:cstheme="minorBidi"/>
              <w:smallCaps w:val="0"/>
              <w:noProof/>
              <w:sz w:val="22"/>
              <w:szCs w:val="22"/>
            </w:rPr>
          </w:pPr>
          <w:hyperlink w:anchor="_Toc352854219" w:history="1">
            <w:r w:rsidR="002A2ABB" w:rsidRPr="00227AFD">
              <w:rPr>
                <w:rStyle w:val="Hyperlink"/>
                <w:noProof/>
              </w:rPr>
              <w:t>Funding the Infrastructure of the Future</w:t>
            </w:r>
            <w:r w:rsidR="002A2ABB">
              <w:rPr>
                <w:noProof/>
                <w:webHidden/>
              </w:rPr>
              <w:tab/>
            </w:r>
            <w:r w:rsidR="002A2ABB">
              <w:rPr>
                <w:noProof/>
                <w:webHidden/>
              </w:rPr>
              <w:fldChar w:fldCharType="begin"/>
            </w:r>
            <w:r w:rsidR="002A2ABB">
              <w:rPr>
                <w:noProof/>
                <w:webHidden/>
              </w:rPr>
              <w:instrText xml:space="preserve"> PAGEREF _Toc352854219 \h </w:instrText>
            </w:r>
            <w:r w:rsidR="002A2ABB">
              <w:rPr>
                <w:noProof/>
                <w:webHidden/>
              </w:rPr>
            </w:r>
            <w:r w:rsidR="002A2ABB">
              <w:rPr>
                <w:noProof/>
                <w:webHidden/>
              </w:rPr>
              <w:fldChar w:fldCharType="separate"/>
            </w:r>
            <w:r>
              <w:rPr>
                <w:noProof/>
                <w:webHidden/>
              </w:rPr>
              <w:t>53</w:t>
            </w:r>
            <w:r w:rsidR="002A2ABB">
              <w:rPr>
                <w:noProof/>
                <w:webHidden/>
              </w:rPr>
              <w:fldChar w:fldCharType="end"/>
            </w:r>
          </w:hyperlink>
        </w:p>
        <w:p w:rsidR="002A2ABB" w:rsidRDefault="00E01A3B">
          <w:pPr>
            <w:pStyle w:val="TOC1"/>
            <w:rPr>
              <w:rFonts w:eastAsiaTheme="minorEastAsia" w:cstheme="minorBidi"/>
              <w:bCs w:val="0"/>
              <w:sz w:val="22"/>
              <w:szCs w:val="22"/>
            </w:rPr>
          </w:pPr>
          <w:hyperlink w:anchor="_Toc352854220" w:history="1">
            <w:r w:rsidR="002A2ABB" w:rsidRPr="00227AFD">
              <w:rPr>
                <w:rStyle w:val="Hyperlink"/>
              </w:rPr>
              <w:t>Conclusions</w:t>
            </w:r>
            <w:r w:rsidR="002A2ABB">
              <w:rPr>
                <w:webHidden/>
              </w:rPr>
              <w:tab/>
            </w:r>
            <w:r w:rsidR="002A2ABB">
              <w:rPr>
                <w:webHidden/>
              </w:rPr>
              <w:fldChar w:fldCharType="begin"/>
            </w:r>
            <w:r w:rsidR="002A2ABB">
              <w:rPr>
                <w:webHidden/>
              </w:rPr>
              <w:instrText xml:space="preserve"> PAGEREF _Toc352854220 \h </w:instrText>
            </w:r>
            <w:r w:rsidR="002A2ABB">
              <w:rPr>
                <w:webHidden/>
              </w:rPr>
            </w:r>
            <w:r w:rsidR="002A2ABB">
              <w:rPr>
                <w:webHidden/>
              </w:rPr>
              <w:fldChar w:fldCharType="separate"/>
            </w:r>
            <w:r>
              <w:rPr>
                <w:webHidden/>
              </w:rPr>
              <w:t>55</w:t>
            </w:r>
            <w:r w:rsidR="002A2ABB">
              <w:rPr>
                <w:webHidden/>
              </w:rPr>
              <w:fldChar w:fldCharType="end"/>
            </w:r>
          </w:hyperlink>
        </w:p>
        <w:p w:rsidR="002A2ABB" w:rsidRDefault="00E01A3B">
          <w:pPr>
            <w:pStyle w:val="TOC1"/>
            <w:rPr>
              <w:rFonts w:eastAsiaTheme="minorEastAsia" w:cstheme="minorBidi"/>
              <w:bCs w:val="0"/>
              <w:sz w:val="22"/>
              <w:szCs w:val="22"/>
            </w:rPr>
          </w:pPr>
          <w:hyperlink w:anchor="_Toc352854221" w:history="1">
            <w:r w:rsidR="002A2ABB" w:rsidRPr="00227AFD">
              <w:rPr>
                <w:rStyle w:val="Hyperlink"/>
              </w:rPr>
              <w:t>REFERENCES</w:t>
            </w:r>
            <w:r w:rsidR="002A2ABB">
              <w:rPr>
                <w:webHidden/>
              </w:rPr>
              <w:tab/>
            </w:r>
            <w:r w:rsidR="002A2ABB">
              <w:rPr>
                <w:webHidden/>
              </w:rPr>
              <w:fldChar w:fldCharType="begin"/>
            </w:r>
            <w:r w:rsidR="002A2ABB">
              <w:rPr>
                <w:webHidden/>
              </w:rPr>
              <w:instrText xml:space="preserve"> PAGEREF _Toc352854221 \h </w:instrText>
            </w:r>
            <w:r w:rsidR="002A2ABB">
              <w:rPr>
                <w:webHidden/>
              </w:rPr>
            </w:r>
            <w:r w:rsidR="002A2ABB">
              <w:rPr>
                <w:webHidden/>
              </w:rPr>
              <w:fldChar w:fldCharType="separate"/>
            </w:r>
            <w:r>
              <w:rPr>
                <w:webHidden/>
              </w:rPr>
              <w:t>57</w:t>
            </w:r>
            <w:r w:rsidR="002A2ABB">
              <w:rPr>
                <w:webHidden/>
              </w:rPr>
              <w:fldChar w:fldCharType="end"/>
            </w:r>
          </w:hyperlink>
        </w:p>
        <w:p w:rsidR="002A2ABB" w:rsidRDefault="00E01A3B">
          <w:pPr>
            <w:pStyle w:val="TOC1"/>
            <w:rPr>
              <w:rFonts w:eastAsiaTheme="minorEastAsia" w:cstheme="minorBidi"/>
              <w:bCs w:val="0"/>
              <w:sz w:val="22"/>
              <w:szCs w:val="22"/>
            </w:rPr>
          </w:pPr>
          <w:hyperlink w:anchor="_Toc352854222" w:history="1">
            <w:r w:rsidR="002A2ABB" w:rsidRPr="00227AFD">
              <w:rPr>
                <w:rStyle w:val="Hyperlink"/>
              </w:rPr>
              <w:t>APPENBDIX A: ABBREVIATIONS</w:t>
            </w:r>
            <w:r w:rsidR="002A2ABB">
              <w:rPr>
                <w:webHidden/>
              </w:rPr>
              <w:tab/>
            </w:r>
            <w:r w:rsidR="002A2ABB">
              <w:rPr>
                <w:webHidden/>
              </w:rPr>
              <w:fldChar w:fldCharType="begin"/>
            </w:r>
            <w:r w:rsidR="002A2ABB">
              <w:rPr>
                <w:webHidden/>
              </w:rPr>
              <w:instrText xml:space="preserve"> PAGEREF _Toc352854222 \h </w:instrText>
            </w:r>
            <w:r w:rsidR="002A2ABB">
              <w:rPr>
                <w:webHidden/>
              </w:rPr>
            </w:r>
            <w:r w:rsidR="002A2ABB">
              <w:rPr>
                <w:webHidden/>
              </w:rPr>
              <w:fldChar w:fldCharType="separate"/>
            </w:r>
            <w:r>
              <w:rPr>
                <w:webHidden/>
              </w:rPr>
              <w:t>67</w:t>
            </w:r>
            <w:r w:rsidR="002A2ABB">
              <w:rPr>
                <w:webHidden/>
              </w:rPr>
              <w:fldChar w:fldCharType="end"/>
            </w:r>
          </w:hyperlink>
        </w:p>
        <w:p w:rsidR="002A2ABB" w:rsidRDefault="00E01A3B">
          <w:pPr>
            <w:pStyle w:val="TOC1"/>
            <w:rPr>
              <w:rFonts w:eastAsiaTheme="minorEastAsia" w:cstheme="minorBidi"/>
              <w:bCs w:val="0"/>
              <w:sz w:val="22"/>
              <w:szCs w:val="22"/>
            </w:rPr>
          </w:pPr>
          <w:hyperlink w:anchor="_Toc352854223" w:history="1">
            <w:r w:rsidR="002A2ABB" w:rsidRPr="00227AFD">
              <w:rPr>
                <w:rStyle w:val="Hyperlink"/>
              </w:rPr>
              <w:t>APPENDIX B: COMPARISON OF GHG EMISSIONS FROM AFVS</w:t>
            </w:r>
            <w:r w:rsidR="002A2ABB">
              <w:rPr>
                <w:webHidden/>
              </w:rPr>
              <w:tab/>
            </w:r>
            <w:r w:rsidR="002A2ABB">
              <w:rPr>
                <w:webHidden/>
              </w:rPr>
              <w:fldChar w:fldCharType="begin"/>
            </w:r>
            <w:r w:rsidR="002A2ABB">
              <w:rPr>
                <w:webHidden/>
              </w:rPr>
              <w:instrText xml:space="preserve"> PAGEREF _Toc352854223 \h </w:instrText>
            </w:r>
            <w:r w:rsidR="002A2ABB">
              <w:rPr>
                <w:webHidden/>
              </w:rPr>
            </w:r>
            <w:r w:rsidR="002A2ABB">
              <w:rPr>
                <w:webHidden/>
              </w:rPr>
              <w:fldChar w:fldCharType="separate"/>
            </w:r>
            <w:r>
              <w:rPr>
                <w:webHidden/>
              </w:rPr>
              <w:t>68</w:t>
            </w:r>
            <w:r w:rsidR="002A2ABB">
              <w:rPr>
                <w:webHidden/>
              </w:rPr>
              <w:fldChar w:fldCharType="end"/>
            </w:r>
          </w:hyperlink>
        </w:p>
        <w:p w:rsidR="002A2ABB" w:rsidRDefault="00E01A3B">
          <w:pPr>
            <w:pStyle w:val="TOC1"/>
            <w:rPr>
              <w:rFonts w:eastAsiaTheme="minorEastAsia" w:cstheme="minorBidi"/>
              <w:bCs w:val="0"/>
              <w:sz w:val="22"/>
              <w:szCs w:val="22"/>
            </w:rPr>
          </w:pPr>
          <w:hyperlink w:anchor="_Toc352854224" w:history="1">
            <w:r w:rsidR="002A2ABB" w:rsidRPr="00227AFD">
              <w:rPr>
                <w:rStyle w:val="Hyperlink"/>
              </w:rPr>
              <w:t>APPENDIX C: CALIFORNIA CLEAN FUELS OUTLET REGULATION</w:t>
            </w:r>
            <w:r w:rsidR="002A2ABB">
              <w:rPr>
                <w:webHidden/>
              </w:rPr>
              <w:tab/>
            </w:r>
            <w:r w:rsidR="002A2ABB">
              <w:rPr>
                <w:webHidden/>
              </w:rPr>
              <w:fldChar w:fldCharType="begin"/>
            </w:r>
            <w:r w:rsidR="002A2ABB">
              <w:rPr>
                <w:webHidden/>
              </w:rPr>
              <w:instrText xml:space="preserve"> PAGEREF _Toc352854224 \h </w:instrText>
            </w:r>
            <w:r w:rsidR="002A2ABB">
              <w:rPr>
                <w:webHidden/>
              </w:rPr>
            </w:r>
            <w:r w:rsidR="002A2ABB">
              <w:rPr>
                <w:webHidden/>
              </w:rPr>
              <w:fldChar w:fldCharType="separate"/>
            </w:r>
            <w:r>
              <w:rPr>
                <w:webHidden/>
              </w:rPr>
              <w:t>69</w:t>
            </w:r>
            <w:r w:rsidR="002A2ABB">
              <w:rPr>
                <w:webHidden/>
              </w:rPr>
              <w:fldChar w:fldCharType="end"/>
            </w:r>
          </w:hyperlink>
        </w:p>
        <w:p w:rsidR="00252FBF" w:rsidRPr="009F6661" w:rsidRDefault="00252FBF" w:rsidP="00252FBF">
          <w:pPr>
            <w:spacing w:after="0"/>
          </w:pPr>
          <w:r w:rsidRPr="002F6472">
            <w:rPr>
              <w:bCs/>
              <w:noProof/>
            </w:rPr>
            <w:fldChar w:fldCharType="end"/>
          </w:r>
        </w:p>
      </w:sdtContent>
    </w:sdt>
    <w:p w:rsidR="00252FBF" w:rsidRPr="008720F3" w:rsidRDefault="00252FBF" w:rsidP="00252FBF">
      <w:pPr>
        <w:spacing w:line="240" w:lineRule="auto"/>
        <w:jc w:val="both"/>
        <w:rPr>
          <w:rFonts w:cstheme="minorHAnsi"/>
          <w:noProof/>
        </w:rPr>
      </w:pPr>
    </w:p>
    <w:p w:rsidR="00252FBF" w:rsidRPr="008720F3" w:rsidRDefault="005F35F9" w:rsidP="00973DBF">
      <w:pPr>
        <w:rPr>
          <w:rFonts w:cs="Arial"/>
          <w:b/>
          <w:sz w:val="24"/>
          <w:szCs w:val="24"/>
        </w:rPr>
      </w:pPr>
      <w:r w:rsidRPr="008720F3">
        <w:rPr>
          <w:rFonts w:cs="Arial"/>
          <w:b/>
          <w:sz w:val="24"/>
          <w:szCs w:val="24"/>
        </w:rPr>
        <w:lastRenderedPageBreak/>
        <w:t>List of Figures</w:t>
      </w:r>
    </w:p>
    <w:p w:rsidR="002F6472" w:rsidRPr="002F6472" w:rsidRDefault="002F6472">
      <w:pPr>
        <w:pStyle w:val="TableofFigures"/>
        <w:tabs>
          <w:tab w:val="right" w:leader="dot" w:pos="9350"/>
        </w:tabs>
        <w:rPr>
          <w:rFonts w:asciiTheme="minorHAnsi" w:eastAsiaTheme="minorEastAsia" w:hAnsiTheme="minorHAnsi" w:cstheme="minorBidi"/>
          <w:noProof/>
          <w:sz w:val="20"/>
          <w:szCs w:val="22"/>
        </w:rPr>
      </w:pPr>
      <w:r w:rsidRPr="002F6472">
        <w:rPr>
          <w:rFonts w:cs="Arial"/>
          <w:sz w:val="22"/>
          <w:szCs w:val="24"/>
        </w:rPr>
        <w:fldChar w:fldCharType="begin"/>
      </w:r>
      <w:r w:rsidRPr="002F6472">
        <w:rPr>
          <w:rFonts w:cs="Arial"/>
          <w:sz w:val="22"/>
          <w:szCs w:val="24"/>
        </w:rPr>
        <w:instrText xml:space="preserve"> TOC \h \z \c "Figure" </w:instrText>
      </w:r>
      <w:r w:rsidRPr="002F6472">
        <w:rPr>
          <w:rFonts w:cs="Arial"/>
          <w:sz w:val="22"/>
          <w:szCs w:val="24"/>
        </w:rPr>
        <w:fldChar w:fldCharType="separate"/>
      </w:r>
      <w:hyperlink w:anchor="_Toc352249436" w:history="1">
        <w:r w:rsidRPr="002F6472">
          <w:rPr>
            <w:rStyle w:val="Hyperlink"/>
            <w:rFonts w:cs="Arial"/>
            <w:noProof/>
            <w:sz w:val="22"/>
          </w:rPr>
          <w:t>Figure 1: Fuel Economy Standards for Select Countries, MPG, 2000-2025</w:t>
        </w:r>
        <w:r w:rsidRPr="002F6472">
          <w:rPr>
            <w:noProof/>
            <w:webHidden/>
            <w:sz w:val="22"/>
          </w:rPr>
          <w:tab/>
        </w:r>
        <w:r w:rsidRPr="002F6472">
          <w:rPr>
            <w:noProof/>
            <w:webHidden/>
            <w:sz w:val="22"/>
          </w:rPr>
          <w:fldChar w:fldCharType="begin"/>
        </w:r>
        <w:r w:rsidRPr="002F6472">
          <w:rPr>
            <w:noProof/>
            <w:webHidden/>
            <w:sz w:val="22"/>
          </w:rPr>
          <w:instrText xml:space="preserve"> PAGEREF _Toc352249436 \h </w:instrText>
        </w:r>
        <w:r w:rsidRPr="002F6472">
          <w:rPr>
            <w:noProof/>
            <w:webHidden/>
            <w:sz w:val="22"/>
          </w:rPr>
        </w:r>
        <w:r w:rsidRPr="002F6472">
          <w:rPr>
            <w:noProof/>
            <w:webHidden/>
            <w:sz w:val="22"/>
          </w:rPr>
          <w:fldChar w:fldCharType="separate"/>
        </w:r>
        <w:r w:rsidR="00E01A3B">
          <w:rPr>
            <w:noProof/>
            <w:webHidden/>
            <w:sz w:val="22"/>
          </w:rPr>
          <w:t>3</w:t>
        </w:r>
        <w:r w:rsidRPr="002F6472">
          <w:rPr>
            <w:noProof/>
            <w:webHidden/>
            <w:sz w:val="22"/>
          </w:rPr>
          <w:fldChar w:fldCharType="end"/>
        </w:r>
      </w:hyperlink>
    </w:p>
    <w:p w:rsidR="002F6472" w:rsidRPr="002F6472" w:rsidRDefault="00E01A3B">
      <w:pPr>
        <w:pStyle w:val="TableofFigures"/>
        <w:tabs>
          <w:tab w:val="right" w:leader="dot" w:pos="9350"/>
        </w:tabs>
        <w:rPr>
          <w:rFonts w:asciiTheme="minorHAnsi" w:eastAsiaTheme="minorEastAsia" w:hAnsiTheme="minorHAnsi" w:cstheme="minorBidi"/>
          <w:noProof/>
          <w:sz w:val="20"/>
          <w:szCs w:val="22"/>
        </w:rPr>
      </w:pPr>
      <w:hyperlink w:anchor="_Toc352249437" w:history="1">
        <w:r w:rsidR="002F6472" w:rsidRPr="002F6472">
          <w:rPr>
            <w:rStyle w:val="Hyperlink"/>
            <w:rFonts w:cs="Arial"/>
            <w:noProof/>
            <w:sz w:val="22"/>
          </w:rPr>
          <w:t>Figure 2: Average End User Diesel and Gas Taxes for Selected EU Countries</w:t>
        </w:r>
        <w:r w:rsidR="002F6472" w:rsidRPr="002F6472">
          <w:rPr>
            <w:noProof/>
            <w:webHidden/>
            <w:sz w:val="22"/>
          </w:rPr>
          <w:tab/>
        </w:r>
        <w:r w:rsidR="002F6472" w:rsidRPr="002F6472">
          <w:rPr>
            <w:noProof/>
            <w:webHidden/>
            <w:sz w:val="22"/>
          </w:rPr>
          <w:fldChar w:fldCharType="begin"/>
        </w:r>
        <w:r w:rsidR="002F6472" w:rsidRPr="002F6472">
          <w:rPr>
            <w:noProof/>
            <w:webHidden/>
            <w:sz w:val="22"/>
          </w:rPr>
          <w:instrText xml:space="preserve"> PAGEREF _Toc352249437 \h </w:instrText>
        </w:r>
        <w:r w:rsidR="002F6472" w:rsidRPr="002F6472">
          <w:rPr>
            <w:noProof/>
            <w:webHidden/>
            <w:sz w:val="22"/>
          </w:rPr>
        </w:r>
        <w:r w:rsidR="002F6472" w:rsidRPr="002F6472">
          <w:rPr>
            <w:noProof/>
            <w:webHidden/>
            <w:sz w:val="22"/>
          </w:rPr>
          <w:fldChar w:fldCharType="separate"/>
        </w:r>
        <w:r>
          <w:rPr>
            <w:noProof/>
            <w:webHidden/>
            <w:sz w:val="22"/>
          </w:rPr>
          <w:t>21</w:t>
        </w:r>
        <w:r w:rsidR="002F6472" w:rsidRPr="002F6472">
          <w:rPr>
            <w:noProof/>
            <w:webHidden/>
            <w:sz w:val="22"/>
          </w:rPr>
          <w:fldChar w:fldCharType="end"/>
        </w:r>
      </w:hyperlink>
    </w:p>
    <w:p w:rsidR="002F6472" w:rsidRPr="002F6472" w:rsidRDefault="00E01A3B">
      <w:pPr>
        <w:pStyle w:val="TableofFigures"/>
        <w:tabs>
          <w:tab w:val="right" w:leader="dot" w:pos="9350"/>
        </w:tabs>
        <w:rPr>
          <w:rFonts w:asciiTheme="minorHAnsi" w:eastAsiaTheme="minorEastAsia" w:hAnsiTheme="minorHAnsi" w:cstheme="minorBidi"/>
          <w:noProof/>
          <w:sz w:val="20"/>
          <w:szCs w:val="22"/>
        </w:rPr>
      </w:pPr>
      <w:hyperlink w:anchor="_Toc352249438" w:history="1">
        <w:r w:rsidR="002F6472" w:rsidRPr="002F6472">
          <w:rPr>
            <w:rStyle w:val="Hyperlink"/>
            <w:rFonts w:cs="Arial"/>
            <w:noProof/>
            <w:sz w:val="22"/>
          </w:rPr>
          <w:t>Figure 3: AFV Sales for Europe from 2001-2030 by Fuel Type</w:t>
        </w:r>
        <w:r w:rsidR="002F6472" w:rsidRPr="002F6472">
          <w:rPr>
            <w:noProof/>
            <w:webHidden/>
            <w:sz w:val="22"/>
          </w:rPr>
          <w:tab/>
        </w:r>
        <w:r w:rsidR="002F6472" w:rsidRPr="002F6472">
          <w:rPr>
            <w:noProof/>
            <w:webHidden/>
            <w:sz w:val="22"/>
          </w:rPr>
          <w:fldChar w:fldCharType="begin"/>
        </w:r>
        <w:r w:rsidR="002F6472" w:rsidRPr="002F6472">
          <w:rPr>
            <w:noProof/>
            <w:webHidden/>
            <w:sz w:val="22"/>
          </w:rPr>
          <w:instrText xml:space="preserve"> PAGEREF _Toc352249438 \h </w:instrText>
        </w:r>
        <w:r w:rsidR="002F6472" w:rsidRPr="002F6472">
          <w:rPr>
            <w:noProof/>
            <w:webHidden/>
            <w:sz w:val="22"/>
          </w:rPr>
        </w:r>
        <w:r w:rsidR="002F6472" w:rsidRPr="002F6472">
          <w:rPr>
            <w:noProof/>
            <w:webHidden/>
            <w:sz w:val="22"/>
          </w:rPr>
          <w:fldChar w:fldCharType="separate"/>
        </w:r>
        <w:r>
          <w:rPr>
            <w:noProof/>
            <w:webHidden/>
            <w:sz w:val="22"/>
          </w:rPr>
          <w:t>40</w:t>
        </w:r>
        <w:r w:rsidR="002F6472" w:rsidRPr="002F6472">
          <w:rPr>
            <w:noProof/>
            <w:webHidden/>
            <w:sz w:val="22"/>
          </w:rPr>
          <w:fldChar w:fldCharType="end"/>
        </w:r>
      </w:hyperlink>
    </w:p>
    <w:p w:rsidR="002F6472" w:rsidRPr="002F6472" w:rsidRDefault="00E01A3B">
      <w:pPr>
        <w:pStyle w:val="TableofFigures"/>
        <w:tabs>
          <w:tab w:val="right" w:leader="dot" w:pos="9350"/>
        </w:tabs>
        <w:rPr>
          <w:rFonts w:asciiTheme="minorHAnsi" w:eastAsiaTheme="minorEastAsia" w:hAnsiTheme="minorHAnsi" w:cstheme="minorBidi"/>
          <w:noProof/>
          <w:sz w:val="20"/>
          <w:szCs w:val="22"/>
        </w:rPr>
      </w:pPr>
      <w:hyperlink w:anchor="_Toc352249439" w:history="1">
        <w:r w:rsidR="002F6472" w:rsidRPr="002F6472">
          <w:rPr>
            <w:rStyle w:val="Hyperlink"/>
            <w:rFonts w:cs="Arial"/>
            <w:noProof/>
            <w:sz w:val="22"/>
          </w:rPr>
          <w:t>Figure 4: AFV Sales for the United States from 2001-2030 by Fuel Type</w:t>
        </w:r>
        <w:r w:rsidR="002F6472" w:rsidRPr="002F6472">
          <w:rPr>
            <w:noProof/>
            <w:webHidden/>
            <w:sz w:val="22"/>
          </w:rPr>
          <w:tab/>
        </w:r>
        <w:r w:rsidR="002F6472" w:rsidRPr="002F6472">
          <w:rPr>
            <w:noProof/>
            <w:webHidden/>
            <w:sz w:val="22"/>
          </w:rPr>
          <w:fldChar w:fldCharType="begin"/>
        </w:r>
        <w:r w:rsidR="002F6472" w:rsidRPr="002F6472">
          <w:rPr>
            <w:noProof/>
            <w:webHidden/>
            <w:sz w:val="22"/>
          </w:rPr>
          <w:instrText xml:space="preserve"> PAGEREF _Toc352249439 \h </w:instrText>
        </w:r>
        <w:r w:rsidR="002F6472" w:rsidRPr="002F6472">
          <w:rPr>
            <w:noProof/>
            <w:webHidden/>
            <w:sz w:val="22"/>
          </w:rPr>
        </w:r>
        <w:r w:rsidR="002F6472" w:rsidRPr="002F6472">
          <w:rPr>
            <w:noProof/>
            <w:webHidden/>
            <w:sz w:val="22"/>
          </w:rPr>
          <w:fldChar w:fldCharType="separate"/>
        </w:r>
        <w:r>
          <w:rPr>
            <w:noProof/>
            <w:webHidden/>
            <w:sz w:val="22"/>
          </w:rPr>
          <w:t>41</w:t>
        </w:r>
        <w:r w:rsidR="002F6472" w:rsidRPr="002F6472">
          <w:rPr>
            <w:noProof/>
            <w:webHidden/>
            <w:sz w:val="22"/>
          </w:rPr>
          <w:fldChar w:fldCharType="end"/>
        </w:r>
      </w:hyperlink>
    </w:p>
    <w:p w:rsidR="002F6472" w:rsidRPr="002F6472" w:rsidRDefault="00E01A3B">
      <w:pPr>
        <w:pStyle w:val="TableofFigures"/>
        <w:tabs>
          <w:tab w:val="right" w:leader="dot" w:pos="9350"/>
        </w:tabs>
        <w:rPr>
          <w:rFonts w:asciiTheme="minorHAnsi" w:eastAsiaTheme="minorEastAsia" w:hAnsiTheme="minorHAnsi" w:cstheme="minorBidi"/>
          <w:noProof/>
          <w:sz w:val="20"/>
          <w:szCs w:val="22"/>
        </w:rPr>
      </w:pPr>
      <w:hyperlink w:anchor="_Toc352249440" w:history="1">
        <w:r w:rsidR="002F6472" w:rsidRPr="002F6472">
          <w:rPr>
            <w:rStyle w:val="Hyperlink"/>
            <w:rFonts w:cs="Arial"/>
            <w:noProof/>
            <w:sz w:val="22"/>
          </w:rPr>
          <w:t>Figure 5: AFV Sales for China from 2001-2030 by Fuel Type</w:t>
        </w:r>
        <w:r w:rsidR="002F6472" w:rsidRPr="002F6472">
          <w:rPr>
            <w:noProof/>
            <w:webHidden/>
            <w:sz w:val="22"/>
          </w:rPr>
          <w:tab/>
        </w:r>
        <w:r w:rsidR="002F6472" w:rsidRPr="002F6472">
          <w:rPr>
            <w:noProof/>
            <w:webHidden/>
            <w:sz w:val="22"/>
          </w:rPr>
          <w:fldChar w:fldCharType="begin"/>
        </w:r>
        <w:r w:rsidR="002F6472" w:rsidRPr="002F6472">
          <w:rPr>
            <w:noProof/>
            <w:webHidden/>
            <w:sz w:val="22"/>
          </w:rPr>
          <w:instrText xml:space="preserve"> PAGEREF _Toc352249440 \h </w:instrText>
        </w:r>
        <w:r w:rsidR="002F6472" w:rsidRPr="002F6472">
          <w:rPr>
            <w:noProof/>
            <w:webHidden/>
            <w:sz w:val="22"/>
          </w:rPr>
        </w:r>
        <w:r w:rsidR="002F6472" w:rsidRPr="002F6472">
          <w:rPr>
            <w:noProof/>
            <w:webHidden/>
            <w:sz w:val="22"/>
          </w:rPr>
          <w:fldChar w:fldCharType="separate"/>
        </w:r>
        <w:r>
          <w:rPr>
            <w:noProof/>
            <w:webHidden/>
            <w:sz w:val="22"/>
          </w:rPr>
          <w:t>41</w:t>
        </w:r>
        <w:r w:rsidR="002F6472" w:rsidRPr="002F6472">
          <w:rPr>
            <w:noProof/>
            <w:webHidden/>
            <w:sz w:val="22"/>
          </w:rPr>
          <w:fldChar w:fldCharType="end"/>
        </w:r>
      </w:hyperlink>
    </w:p>
    <w:p w:rsidR="0008106C" w:rsidRPr="008720F3" w:rsidRDefault="002F6472" w:rsidP="005F35F9">
      <w:pPr>
        <w:rPr>
          <w:rFonts w:cs="Arial"/>
          <w:sz w:val="24"/>
          <w:szCs w:val="24"/>
        </w:rPr>
      </w:pPr>
      <w:r w:rsidRPr="002F6472">
        <w:rPr>
          <w:rFonts w:ascii="Calibri" w:eastAsia="Times New Roman" w:hAnsi="Calibri" w:cs="Arial"/>
          <w:szCs w:val="24"/>
        </w:rPr>
        <w:fldChar w:fldCharType="end"/>
      </w:r>
    </w:p>
    <w:p w:rsidR="002F6472" w:rsidRPr="002F6472" w:rsidRDefault="005F35F9" w:rsidP="002F6472">
      <w:pPr>
        <w:rPr>
          <w:noProof/>
          <w:sz w:val="20"/>
        </w:rPr>
      </w:pPr>
      <w:r w:rsidRPr="008720F3">
        <w:rPr>
          <w:rFonts w:cs="Arial"/>
          <w:b/>
          <w:sz w:val="24"/>
          <w:szCs w:val="24"/>
        </w:rPr>
        <w:t>List of Tables</w:t>
      </w:r>
      <w:r w:rsidR="002F6472" w:rsidRPr="002F6472">
        <w:rPr>
          <w:rFonts w:cs="Arial"/>
          <w:b/>
          <w:szCs w:val="24"/>
        </w:rPr>
        <w:fldChar w:fldCharType="begin"/>
      </w:r>
      <w:r w:rsidR="002F6472" w:rsidRPr="002F6472">
        <w:rPr>
          <w:rFonts w:cs="Arial"/>
          <w:b/>
          <w:szCs w:val="24"/>
        </w:rPr>
        <w:instrText xml:space="preserve"> TOC \h \z \c "Table" </w:instrText>
      </w:r>
      <w:r w:rsidR="002F6472" w:rsidRPr="002F6472">
        <w:rPr>
          <w:rFonts w:cs="Arial"/>
          <w:b/>
          <w:szCs w:val="24"/>
        </w:rPr>
        <w:fldChar w:fldCharType="separate"/>
      </w:r>
    </w:p>
    <w:p w:rsidR="002F6472" w:rsidRPr="002F6472" w:rsidRDefault="00E01A3B">
      <w:pPr>
        <w:pStyle w:val="TableofFigures"/>
        <w:tabs>
          <w:tab w:val="right" w:leader="dot" w:pos="9350"/>
        </w:tabs>
        <w:rPr>
          <w:rFonts w:asciiTheme="minorHAnsi" w:eastAsiaTheme="minorEastAsia" w:hAnsiTheme="minorHAnsi" w:cstheme="minorBidi"/>
          <w:noProof/>
          <w:sz w:val="20"/>
          <w:szCs w:val="22"/>
        </w:rPr>
      </w:pPr>
      <w:hyperlink w:anchor="_Toc352249441" w:history="1">
        <w:r w:rsidR="002F6472" w:rsidRPr="002F6472">
          <w:rPr>
            <w:rStyle w:val="Hyperlink"/>
            <w:rFonts w:cs="Arial"/>
            <w:noProof/>
            <w:sz w:val="22"/>
          </w:rPr>
          <w:t>Table 1: Vehicle Price and Fuel Economy by Fuel Type</w:t>
        </w:r>
        <w:r w:rsidR="002F6472" w:rsidRPr="002F6472">
          <w:rPr>
            <w:noProof/>
            <w:webHidden/>
            <w:sz w:val="22"/>
          </w:rPr>
          <w:tab/>
        </w:r>
        <w:r w:rsidR="002F6472" w:rsidRPr="002F6472">
          <w:rPr>
            <w:noProof/>
            <w:webHidden/>
            <w:sz w:val="22"/>
          </w:rPr>
          <w:fldChar w:fldCharType="begin"/>
        </w:r>
        <w:r w:rsidR="002F6472" w:rsidRPr="002F6472">
          <w:rPr>
            <w:noProof/>
            <w:webHidden/>
            <w:sz w:val="22"/>
          </w:rPr>
          <w:instrText xml:space="preserve"> PAGEREF _Toc352249441 \h </w:instrText>
        </w:r>
        <w:r w:rsidR="002F6472" w:rsidRPr="002F6472">
          <w:rPr>
            <w:noProof/>
            <w:webHidden/>
            <w:sz w:val="22"/>
          </w:rPr>
        </w:r>
        <w:r w:rsidR="002F6472" w:rsidRPr="002F6472">
          <w:rPr>
            <w:noProof/>
            <w:webHidden/>
            <w:sz w:val="22"/>
          </w:rPr>
          <w:fldChar w:fldCharType="separate"/>
        </w:r>
        <w:r>
          <w:rPr>
            <w:noProof/>
            <w:webHidden/>
            <w:sz w:val="22"/>
          </w:rPr>
          <w:t>14</w:t>
        </w:r>
        <w:r w:rsidR="002F6472" w:rsidRPr="002F6472">
          <w:rPr>
            <w:noProof/>
            <w:webHidden/>
            <w:sz w:val="22"/>
          </w:rPr>
          <w:fldChar w:fldCharType="end"/>
        </w:r>
      </w:hyperlink>
    </w:p>
    <w:p w:rsidR="002F6472" w:rsidRPr="002F6472" w:rsidRDefault="00E01A3B">
      <w:pPr>
        <w:pStyle w:val="TableofFigures"/>
        <w:tabs>
          <w:tab w:val="right" w:leader="dot" w:pos="9350"/>
        </w:tabs>
        <w:rPr>
          <w:rFonts w:asciiTheme="minorHAnsi" w:eastAsiaTheme="minorEastAsia" w:hAnsiTheme="minorHAnsi" w:cstheme="minorBidi"/>
          <w:noProof/>
          <w:sz w:val="20"/>
          <w:szCs w:val="22"/>
        </w:rPr>
      </w:pPr>
      <w:hyperlink w:anchor="_Toc352249442" w:history="1">
        <w:r w:rsidR="002F6472" w:rsidRPr="002F6472">
          <w:rPr>
            <w:rStyle w:val="Hyperlink"/>
            <w:rFonts w:cs="Arial"/>
            <w:noProof/>
            <w:sz w:val="22"/>
          </w:rPr>
          <w:t>Table 2: State Rankings for AFV Fueling Stations by Fuel Type</w:t>
        </w:r>
        <w:r w:rsidR="002F6472" w:rsidRPr="002F6472">
          <w:rPr>
            <w:noProof/>
            <w:webHidden/>
            <w:sz w:val="22"/>
          </w:rPr>
          <w:tab/>
        </w:r>
        <w:r w:rsidR="002F6472" w:rsidRPr="002F6472">
          <w:rPr>
            <w:noProof/>
            <w:webHidden/>
            <w:sz w:val="22"/>
          </w:rPr>
          <w:fldChar w:fldCharType="begin"/>
        </w:r>
        <w:r w:rsidR="002F6472" w:rsidRPr="002F6472">
          <w:rPr>
            <w:noProof/>
            <w:webHidden/>
            <w:sz w:val="22"/>
          </w:rPr>
          <w:instrText xml:space="preserve"> PAGEREF _Toc352249442 \h </w:instrText>
        </w:r>
        <w:r w:rsidR="002F6472" w:rsidRPr="002F6472">
          <w:rPr>
            <w:noProof/>
            <w:webHidden/>
            <w:sz w:val="22"/>
          </w:rPr>
        </w:r>
        <w:r w:rsidR="002F6472" w:rsidRPr="002F6472">
          <w:rPr>
            <w:noProof/>
            <w:webHidden/>
            <w:sz w:val="22"/>
          </w:rPr>
          <w:fldChar w:fldCharType="separate"/>
        </w:r>
        <w:r>
          <w:rPr>
            <w:noProof/>
            <w:webHidden/>
            <w:sz w:val="22"/>
          </w:rPr>
          <w:t>28</w:t>
        </w:r>
        <w:r w:rsidR="002F6472" w:rsidRPr="002F6472">
          <w:rPr>
            <w:noProof/>
            <w:webHidden/>
            <w:sz w:val="22"/>
          </w:rPr>
          <w:fldChar w:fldCharType="end"/>
        </w:r>
      </w:hyperlink>
    </w:p>
    <w:p w:rsidR="002F6472" w:rsidRPr="002F6472" w:rsidRDefault="00E01A3B">
      <w:pPr>
        <w:pStyle w:val="TableofFigures"/>
        <w:tabs>
          <w:tab w:val="right" w:leader="dot" w:pos="9350"/>
        </w:tabs>
        <w:rPr>
          <w:rFonts w:asciiTheme="minorHAnsi" w:eastAsiaTheme="minorEastAsia" w:hAnsiTheme="minorHAnsi" w:cstheme="minorBidi"/>
          <w:noProof/>
          <w:sz w:val="20"/>
          <w:szCs w:val="22"/>
        </w:rPr>
      </w:pPr>
      <w:hyperlink w:anchor="_Toc352249443" w:history="1">
        <w:r w:rsidR="002F6472" w:rsidRPr="002F6472">
          <w:rPr>
            <w:rStyle w:val="Hyperlink"/>
            <w:rFonts w:cs="Arial"/>
            <w:noProof/>
            <w:sz w:val="22"/>
          </w:rPr>
          <w:t>Table 3: Number of Light-Duty Vehicles per Station by Fuel Type</w:t>
        </w:r>
        <w:r w:rsidR="002F6472" w:rsidRPr="002F6472">
          <w:rPr>
            <w:noProof/>
            <w:webHidden/>
            <w:sz w:val="22"/>
          </w:rPr>
          <w:tab/>
        </w:r>
        <w:r w:rsidR="002F6472" w:rsidRPr="002F6472">
          <w:rPr>
            <w:noProof/>
            <w:webHidden/>
            <w:sz w:val="22"/>
          </w:rPr>
          <w:fldChar w:fldCharType="begin"/>
        </w:r>
        <w:r w:rsidR="002F6472" w:rsidRPr="002F6472">
          <w:rPr>
            <w:noProof/>
            <w:webHidden/>
            <w:sz w:val="22"/>
          </w:rPr>
          <w:instrText xml:space="preserve"> PAGEREF _Toc352249443 \h </w:instrText>
        </w:r>
        <w:r w:rsidR="002F6472" w:rsidRPr="002F6472">
          <w:rPr>
            <w:noProof/>
            <w:webHidden/>
            <w:sz w:val="22"/>
          </w:rPr>
        </w:r>
        <w:r w:rsidR="002F6472" w:rsidRPr="002F6472">
          <w:rPr>
            <w:noProof/>
            <w:webHidden/>
            <w:sz w:val="22"/>
          </w:rPr>
          <w:fldChar w:fldCharType="separate"/>
        </w:r>
        <w:r>
          <w:rPr>
            <w:noProof/>
            <w:webHidden/>
            <w:sz w:val="22"/>
          </w:rPr>
          <w:t>35</w:t>
        </w:r>
        <w:r w:rsidR="002F6472" w:rsidRPr="002F6472">
          <w:rPr>
            <w:noProof/>
            <w:webHidden/>
            <w:sz w:val="22"/>
          </w:rPr>
          <w:fldChar w:fldCharType="end"/>
        </w:r>
      </w:hyperlink>
    </w:p>
    <w:p w:rsidR="002F6472" w:rsidRPr="002F6472" w:rsidRDefault="00E01A3B">
      <w:pPr>
        <w:pStyle w:val="TableofFigures"/>
        <w:tabs>
          <w:tab w:val="right" w:leader="dot" w:pos="9350"/>
        </w:tabs>
        <w:rPr>
          <w:rFonts w:asciiTheme="minorHAnsi" w:eastAsiaTheme="minorEastAsia" w:hAnsiTheme="minorHAnsi" w:cstheme="minorBidi"/>
          <w:noProof/>
          <w:sz w:val="20"/>
          <w:szCs w:val="22"/>
        </w:rPr>
      </w:pPr>
      <w:hyperlink w:anchor="_Toc352249444" w:history="1">
        <w:r w:rsidR="002F6472" w:rsidRPr="002F6472">
          <w:rPr>
            <w:rStyle w:val="Hyperlink"/>
            <w:rFonts w:cs="Arial"/>
            <w:noProof/>
            <w:sz w:val="22"/>
          </w:rPr>
          <w:t>Table 4: Infrastructure Cost per Vehicle by Fuel Type</w:t>
        </w:r>
        <w:r w:rsidR="002F6472" w:rsidRPr="002F6472">
          <w:rPr>
            <w:noProof/>
            <w:webHidden/>
            <w:sz w:val="22"/>
          </w:rPr>
          <w:tab/>
        </w:r>
        <w:r w:rsidR="002F6472" w:rsidRPr="002F6472">
          <w:rPr>
            <w:noProof/>
            <w:webHidden/>
            <w:sz w:val="22"/>
          </w:rPr>
          <w:fldChar w:fldCharType="begin"/>
        </w:r>
        <w:r w:rsidR="002F6472" w:rsidRPr="002F6472">
          <w:rPr>
            <w:noProof/>
            <w:webHidden/>
            <w:sz w:val="22"/>
          </w:rPr>
          <w:instrText xml:space="preserve"> PAGEREF _Toc352249444 \h </w:instrText>
        </w:r>
        <w:r w:rsidR="002F6472" w:rsidRPr="002F6472">
          <w:rPr>
            <w:noProof/>
            <w:webHidden/>
            <w:sz w:val="22"/>
          </w:rPr>
        </w:r>
        <w:r w:rsidR="002F6472" w:rsidRPr="002F6472">
          <w:rPr>
            <w:noProof/>
            <w:webHidden/>
            <w:sz w:val="22"/>
          </w:rPr>
          <w:fldChar w:fldCharType="separate"/>
        </w:r>
        <w:r>
          <w:rPr>
            <w:noProof/>
            <w:webHidden/>
            <w:sz w:val="22"/>
          </w:rPr>
          <w:t>37</w:t>
        </w:r>
        <w:r w:rsidR="002F6472" w:rsidRPr="002F6472">
          <w:rPr>
            <w:noProof/>
            <w:webHidden/>
            <w:sz w:val="22"/>
          </w:rPr>
          <w:fldChar w:fldCharType="end"/>
        </w:r>
      </w:hyperlink>
    </w:p>
    <w:p w:rsidR="002F6472" w:rsidRPr="002F6472" w:rsidRDefault="00E01A3B">
      <w:pPr>
        <w:pStyle w:val="TableofFigures"/>
        <w:tabs>
          <w:tab w:val="right" w:leader="dot" w:pos="9350"/>
        </w:tabs>
        <w:rPr>
          <w:rFonts w:asciiTheme="minorHAnsi" w:eastAsiaTheme="minorEastAsia" w:hAnsiTheme="minorHAnsi" w:cstheme="minorBidi"/>
          <w:noProof/>
          <w:sz w:val="20"/>
          <w:szCs w:val="22"/>
        </w:rPr>
      </w:pPr>
      <w:hyperlink w:anchor="_Toc352249445" w:history="1">
        <w:r w:rsidR="002F6472" w:rsidRPr="002F6472">
          <w:rPr>
            <w:rStyle w:val="Hyperlink"/>
            <w:rFonts w:cs="Arial"/>
            <w:noProof/>
            <w:sz w:val="22"/>
          </w:rPr>
          <w:t>Table 5: NPC Estimate of Infrastructure Cost per Vehicle by Fuel Type</w:t>
        </w:r>
        <w:r w:rsidR="002F6472" w:rsidRPr="002F6472">
          <w:rPr>
            <w:noProof/>
            <w:webHidden/>
            <w:sz w:val="22"/>
          </w:rPr>
          <w:tab/>
        </w:r>
        <w:r w:rsidR="002F6472" w:rsidRPr="002F6472">
          <w:rPr>
            <w:noProof/>
            <w:webHidden/>
            <w:sz w:val="22"/>
          </w:rPr>
          <w:fldChar w:fldCharType="begin"/>
        </w:r>
        <w:r w:rsidR="002F6472" w:rsidRPr="002F6472">
          <w:rPr>
            <w:noProof/>
            <w:webHidden/>
            <w:sz w:val="22"/>
          </w:rPr>
          <w:instrText xml:space="preserve"> PAGEREF _Toc352249445 \h </w:instrText>
        </w:r>
        <w:r w:rsidR="002F6472" w:rsidRPr="002F6472">
          <w:rPr>
            <w:noProof/>
            <w:webHidden/>
            <w:sz w:val="22"/>
          </w:rPr>
        </w:r>
        <w:r w:rsidR="002F6472" w:rsidRPr="002F6472">
          <w:rPr>
            <w:noProof/>
            <w:webHidden/>
            <w:sz w:val="22"/>
          </w:rPr>
          <w:fldChar w:fldCharType="separate"/>
        </w:r>
        <w:r>
          <w:rPr>
            <w:noProof/>
            <w:webHidden/>
            <w:sz w:val="22"/>
          </w:rPr>
          <w:t>37</w:t>
        </w:r>
        <w:r w:rsidR="002F6472" w:rsidRPr="002F6472">
          <w:rPr>
            <w:noProof/>
            <w:webHidden/>
            <w:sz w:val="22"/>
          </w:rPr>
          <w:fldChar w:fldCharType="end"/>
        </w:r>
      </w:hyperlink>
    </w:p>
    <w:p w:rsidR="002F6472" w:rsidRPr="002F6472" w:rsidRDefault="00E01A3B">
      <w:pPr>
        <w:pStyle w:val="TableofFigures"/>
        <w:tabs>
          <w:tab w:val="right" w:leader="dot" w:pos="9350"/>
        </w:tabs>
        <w:rPr>
          <w:rFonts w:asciiTheme="minorHAnsi" w:eastAsiaTheme="minorEastAsia" w:hAnsiTheme="minorHAnsi" w:cstheme="minorBidi"/>
          <w:noProof/>
          <w:sz w:val="20"/>
          <w:szCs w:val="22"/>
        </w:rPr>
      </w:pPr>
      <w:hyperlink w:anchor="_Toc352249446" w:history="1">
        <w:r w:rsidR="002F6472" w:rsidRPr="002F6472">
          <w:rPr>
            <w:rStyle w:val="Hyperlink"/>
            <w:rFonts w:cs="Arial"/>
            <w:noProof/>
            <w:sz w:val="22"/>
          </w:rPr>
          <w:t>Table 6: NAS Estimate of Infrastructure Cost per Vehicle by Fuel Type</w:t>
        </w:r>
        <w:r w:rsidR="002F6472" w:rsidRPr="002F6472">
          <w:rPr>
            <w:noProof/>
            <w:webHidden/>
            <w:sz w:val="22"/>
          </w:rPr>
          <w:tab/>
        </w:r>
        <w:r w:rsidR="002F6472" w:rsidRPr="002F6472">
          <w:rPr>
            <w:noProof/>
            <w:webHidden/>
            <w:sz w:val="22"/>
          </w:rPr>
          <w:fldChar w:fldCharType="begin"/>
        </w:r>
        <w:r w:rsidR="002F6472" w:rsidRPr="002F6472">
          <w:rPr>
            <w:noProof/>
            <w:webHidden/>
            <w:sz w:val="22"/>
          </w:rPr>
          <w:instrText xml:space="preserve"> PAGEREF _Toc352249446 \h </w:instrText>
        </w:r>
        <w:r w:rsidR="002F6472" w:rsidRPr="002F6472">
          <w:rPr>
            <w:noProof/>
            <w:webHidden/>
            <w:sz w:val="22"/>
          </w:rPr>
        </w:r>
        <w:r w:rsidR="002F6472" w:rsidRPr="002F6472">
          <w:rPr>
            <w:noProof/>
            <w:webHidden/>
            <w:sz w:val="22"/>
          </w:rPr>
          <w:fldChar w:fldCharType="separate"/>
        </w:r>
        <w:r>
          <w:rPr>
            <w:noProof/>
            <w:webHidden/>
            <w:sz w:val="22"/>
          </w:rPr>
          <w:t>38</w:t>
        </w:r>
        <w:r w:rsidR="002F6472" w:rsidRPr="002F6472">
          <w:rPr>
            <w:noProof/>
            <w:webHidden/>
            <w:sz w:val="22"/>
          </w:rPr>
          <w:fldChar w:fldCharType="end"/>
        </w:r>
      </w:hyperlink>
    </w:p>
    <w:p w:rsidR="002F6472" w:rsidRPr="002F6472" w:rsidRDefault="00E01A3B">
      <w:pPr>
        <w:pStyle w:val="TableofFigures"/>
        <w:tabs>
          <w:tab w:val="right" w:leader="dot" w:pos="9350"/>
        </w:tabs>
        <w:rPr>
          <w:rFonts w:asciiTheme="minorHAnsi" w:eastAsiaTheme="minorEastAsia" w:hAnsiTheme="minorHAnsi" w:cstheme="minorBidi"/>
          <w:noProof/>
          <w:sz w:val="20"/>
          <w:szCs w:val="22"/>
        </w:rPr>
      </w:pPr>
      <w:hyperlink w:anchor="_Toc352249447" w:history="1">
        <w:r w:rsidR="002F6472" w:rsidRPr="002F6472">
          <w:rPr>
            <w:rStyle w:val="Hyperlink"/>
            <w:rFonts w:cs="Arial"/>
            <w:noProof/>
            <w:sz w:val="22"/>
          </w:rPr>
          <w:t>Table 7: AFV Sales in 2030 by Fuel Type by Country</w:t>
        </w:r>
        <w:r w:rsidR="002F6472" w:rsidRPr="002F6472">
          <w:rPr>
            <w:noProof/>
            <w:webHidden/>
            <w:sz w:val="22"/>
          </w:rPr>
          <w:tab/>
        </w:r>
        <w:r w:rsidR="002F6472" w:rsidRPr="002F6472">
          <w:rPr>
            <w:noProof/>
            <w:webHidden/>
            <w:sz w:val="22"/>
          </w:rPr>
          <w:fldChar w:fldCharType="begin"/>
        </w:r>
        <w:r w:rsidR="002F6472" w:rsidRPr="002F6472">
          <w:rPr>
            <w:noProof/>
            <w:webHidden/>
            <w:sz w:val="22"/>
          </w:rPr>
          <w:instrText xml:space="preserve"> PAGEREF _Toc352249447 \h </w:instrText>
        </w:r>
        <w:r w:rsidR="002F6472" w:rsidRPr="002F6472">
          <w:rPr>
            <w:noProof/>
            <w:webHidden/>
            <w:sz w:val="22"/>
          </w:rPr>
        </w:r>
        <w:r w:rsidR="002F6472" w:rsidRPr="002F6472">
          <w:rPr>
            <w:noProof/>
            <w:webHidden/>
            <w:sz w:val="22"/>
          </w:rPr>
          <w:fldChar w:fldCharType="separate"/>
        </w:r>
        <w:r>
          <w:rPr>
            <w:noProof/>
            <w:webHidden/>
            <w:sz w:val="22"/>
          </w:rPr>
          <w:t>39</w:t>
        </w:r>
        <w:r w:rsidR="002F6472" w:rsidRPr="002F6472">
          <w:rPr>
            <w:noProof/>
            <w:webHidden/>
            <w:sz w:val="22"/>
          </w:rPr>
          <w:fldChar w:fldCharType="end"/>
        </w:r>
      </w:hyperlink>
    </w:p>
    <w:p w:rsidR="002F6472" w:rsidRPr="002F6472" w:rsidRDefault="00E01A3B">
      <w:pPr>
        <w:pStyle w:val="TableofFigures"/>
        <w:tabs>
          <w:tab w:val="right" w:leader="dot" w:pos="9350"/>
        </w:tabs>
        <w:rPr>
          <w:rFonts w:asciiTheme="minorHAnsi" w:eastAsiaTheme="minorEastAsia" w:hAnsiTheme="minorHAnsi" w:cstheme="minorBidi"/>
          <w:noProof/>
          <w:sz w:val="20"/>
          <w:szCs w:val="22"/>
        </w:rPr>
      </w:pPr>
      <w:hyperlink w:anchor="_Toc352249448" w:history="1">
        <w:r w:rsidR="002F6472" w:rsidRPr="002F6472">
          <w:rPr>
            <w:rStyle w:val="Hyperlink"/>
            <w:rFonts w:cs="Arial"/>
            <w:noProof/>
            <w:sz w:val="22"/>
          </w:rPr>
          <w:t>Table 8: Total AFVs in Operation in 2030 by Fuel Type by Country</w:t>
        </w:r>
        <w:r w:rsidR="002F6472" w:rsidRPr="002F6472">
          <w:rPr>
            <w:noProof/>
            <w:webHidden/>
            <w:sz w:val="22"/>
          </w:rPr>
          <w:tab/>
        </w:r>
        <w:r w:rsidR="002F6472" w:rsidRPr="002F6472">
          <w:rPr>
            <w:noProof/>
            <w:webHidden/>
            <w:sz w:val="22"/>
          </w:rPr>
          <w:fldChar w:fldCharType="begin"/>
        </w:r>
        <w:r w:rsidR="002F6472" w:rsidRPr="002F6472">
          <w:rPr>
            <w:noProof/>
            <w:webHidden/>
            <w:sz w:val="22"/>
          </w:rPr>
          <w:instrText xml:space="preserve"> PAGEREF _Toc352249448 \h </w:instrText>
        </w:r>
        <w:r w:rsidR="002F6472" w:rsidRPr="002F6472">
          <w:rPr>
            <w:noProof/>
            <w:webHidden/>
            <w:sz w:val="22"/>
          </w:rPr>
        </w:r>
        <w:r w:rsidR="002F6472" w:rsidRPr="002F6472">
          <w:rPr>
            <w:noProof/>
            <w:webHidden/>
            <w:sz w:val="22"/>
          </w:rPr>
          <w:fldChar w:fldCharType="separate"/>
        </w:r>
        <w:r>
          <w:rPr>
            <w:noProof/>
            <w:webHidden/>
            <w:sz w:val="22"/>
          </w:rPr>
          <w:t>42</w:t>
        </w:r>
        <w:r w:rsidR="002F6472" w:rsidRPr="002F6472">
          <w:rPr>
            <w:noProof/>
            <w:webHidden/>
            <w:sz w:val="22"/>
          </w:rPr>
          <w:fldChar w:fldCharType="end"/>
        </w:r>
      </w:hyperlink>
    </w:p>
    <w:p w:rsidR="002F6472" w:rsidRPr="002F6472" w:rsidRDefault="00E01A3B">
      <w:pPr>
        <w:pStyle w:val="TableofFigures"/>
        <w:tabs>
          <w:tab w:val="right" w:leader="dot" w:pos="9350"/>
        </w:tabs>
        <w:rPr>
          <w:rFonts w:asciiTheme="minorHAnsi" w:eastAsiaTheme="minorEastAsia" w:hAnsiTheme="minorHAnsi" w:cstheme="minorBidi"/>
          <w:noProof/>
          <w:sz w:val="20"/>
          <w:szCs w:val="22"/>
        </w:rPr>
      </w:pPr>
      <w:hyperlink w:anchor="_Toc352249449" w:history="1">
        <w:r w:rsidR="002F6472" w:rsidRPr="002F6472">
          <w:rPr>
            <w:rStyle w:val="Hyperlink"/>
            <w:rFonts w:cs="Arial"/>
            <w:noProof/>
            <w:sz w:val="22"/>
          </w:rPr>
          <w:t>Table 9: Infrastructure Cost by Country in Millions Nominal 2013 $US</w:t>
        </w:r>
        <w:r w:rsidR="002F6472" w:rsidRPr="002F6472">
          <w:rPr>
            <w:noProof/>
            <w:webHidden/>
            <w:sz w:val="22"/>
          </w:rPr>
          <w:tab/>
        </w:r>
        <w:r w:rsidR="002F6472" w:rsidRPr="002F6472">
          <w:rPr>
            <w:noProof/>
            <w:webHidden/>
            <w:sz w:val="22"/>
          </w:rPr>
          <w:fldChar w:fldCharType="begin"/>
        </w:r>
        <w:r w:rsidR="002F6472" w:rsidRPr="002F6472">
          <w:rPr>
            <w:noProof/>
            <w:webHidden/>
            <w:sz w:val="22"/>
          </w:rPr>
          <w:instrText xml:space="preserve"> PAGEREF _Toc352249449 \h </w:instrText>
        </w:r>
        <w:r w:rsidR="002F6472" w:rsidRPr="002F6472">
          <w:rPr>
            <w:noProof/>
            <w:webHidden/>
            <w:sz w:val="22"/>
          </w:rPr>
        </w:r>
        <w:r w:rsidR="002F6472" w:rsidRPr="002F6472">
          <w:rPr>
            <w:noProof/>
            <w:webHidden/>
            <w:sz w:val="22"/>
          </w:rPr>
          <w:fldChar w:fldCharType="separate"/>
        </w:r>
        <w:r>
          <w:rPr>
            <w:noProof/>
            <w:webHidden/>
            <w:sz w:val="22"/>
          </w:rPr>
          <w:t>42</w:t>
        </w:r>
        <w:r w:rsidR="002F6472" w:rsidRPr="002F6472">
          <w:rPr>
            <w:noProof/>
            <w:webHidden/>
            <w:sz w:val="22"/>
          </w:rPr>
          <w:fldChar w:fldCharType="end"/>
        </w:r>
      </w:hyperlink>
    </w:p>
    <w:p w:rsidR="00252FBF" w:rsidRPr="008720F3" w:rsidRDefault="002F6472" w:rsidP="002F6472">
      <w:pPr>
        <w:rPr>
          <w:rFonts w:cs="Arial"/>
          <w:sz w:val="24"/>
          <w:szCs w:val="24"/>
        </w:rPr>
      </w:pPr>
      <w:r w:rsidRPr="002F6472">
        <w:rPr>
          <w:rFonts w:cs="Arial"/>
          <w:b/>
          <w:szCs w:val="24"/>
        </w:rPr>
        <w:fldChar w:fldCharType="end"/>
      </w:r>
    </w:p>
    <w:p w:rsidR="001E42CA" w:rsidRPr="008720F3" w:rsidRDefault="001E42CA" w:rsidP="001E42CA">
      <w:r w:rsidRPr="008720F3">
        <w:br w:type="page"/>
      </w:r>
    </w:p>
    <w:p w:rsidR="001F4DED" w:rsidRPr="0068532B" w:rsidRDefault="001F4DED" w:rsidP="001F4DED">
      <w:pPr>
        <w:pStyle w:val="Heading1"/>
      </w:pPr>
      <w:bookmarkStart w:id="2" w:name="_Toc352854161"/>
      <w:r w:rsidRPr="0068532B">
        <w:lastRenderedPageBreak/>
        <w:t>Acknowledgements</w:t>
      </w:r>
      <w:bookmarkEnd w:id="2"/>
    </w:p>
    <w:p w:rsidR="001F4DED" w:rsidRPr="0068532B" w:rsidRDefault="001F4DED" w:rsidP="001F4DED">
      <w:pPr>
        <w:rPr>
          <w:rFonts w:cs="Arial"/>
          <w:szCs w:val="24"/>
        </w:rPr>
      </w:pPr>
      <w:r w:rsidRPr="0068532B">
        <w:rPr>
          <w:rFonts w:cs="Arial"/>
          <w:szCs w:val="24"/>
        </w:rPr>
        <w:t>The authors would like to thank the Global Interdependence Council for its support of this work. This study is the result of a group effort, and the authors would like to thank their many colleagues at Ford and the Center for Automotive Research (CAR) for providing assistance and guidance. At Ford, we would like to thank Michael T</w:t>
      </w:r>
      <w:r w:rsidR="00827932">
        <w:rPr>
          <w:rFonts w:cs="Arial"/>
          <w:szCs w:val="24"/>
        </w:rPr>
        <w:t>amor,</w:t>
      </w:r>
      <w:r w:rsidRPr="0068532B">
        <w:rPr>
          <w:rFonts w:cs="Arial"/>
          <w:szCs w:val="24"/>
        </w:rPr>
        <w:t xml:space="preserve"> Michael Tinskey,</w:t>
      </w:r>
      <w:r w:rsidR="00964AB4">
        <w:rPr>
          <w:rFonts w:cs="Arial"/>
          <w:szCs w:val="24"/>
        </w:rPr>
        <w:t xml:space="preserve"> and Mark Edie;</w:t>
      </w:r>
      <w:r w:rsidR="00827932">
        <w:rPr>
          <w:rFonts w:cs="Arial"/>
          <w:szCs w:val="24"/>
        </w:rPr>
        <w:t xml:space="preserve"> a</w:t>
      </w:r>
      <w:r w:rsidRPr="0068532B">
        <w:rPr>
          <w:rFonts w:cs="Arial"/>
          <w:szCs w:val="24"/>
        </w:rPr>
        <w:t>t CAR, we would like to thank Sean McAlinden, Kim Hill, Michael Schultz, and Diana Douglass. The authors would also like to thank John DeCicco from the University of Michigan and Adam Cooper at the Edison Foundation for their insight. We would also like to thank Wendy Barhydt for her assistance with editing the final paper.</w:t>
      </w:r>
    </w:p>
    <w:p w:rsidR="00252FBF" w:rsidRPr="008720F3" w:rsidRDefault="00252FBF" w:rsidP="00920CF5">
      <w:pPr>
        <w:rPr>
          <w:rFonts w:cs="Arial"/>
          <w:sz w:val="24"/>
          <w:szCs w:val="24"/>
        </w:rPr>
        <w:sectPr w:rsidR="00252FBF" w:rsidRPr="008720F3" w:rsidSect="00973DBF">
          <w:footerReference w:type="default" r:id="rId18"/>
          <w:pgSz w:w="12240" w:h="15840" w:code="1"/>
          <w:pgMar w:top="1440" w:right="1440" w:bottom="1440" w:left="1440" w:header="720" w:footer="720" w:gutter="0"/>
          <w:pgNumType w:fmt="lowerRoman" w:start="1"/>
          <w:cols w:space="720"/>
        </w:sectPr>
      </w:pPr>
      <w:r w:rsidRPr="008720F3">
        <w:rPr>
          <w:rFonts w:cstheme="minorHAnsi"/>
        </w:rPr>
        <w:br w:type="page"/>
      </w:r>
      <w:bookmarkEnd w:id="1"/>
    </w:p>
    <w:p w:rsidR="00080A60" w:rsidRPr="009F6661" w:rsidRDefault="00080A60" w:rsidP="00080A60">
      <w:pPr>
        <w:spacing w:after="0" w:line="240" w:lineRule="auto"/>
        <w:rPr>
          <w:rFonts w:asciiTheme="majorHAnsi" w:eastAsia="Times New Roman" w:hAnsiTheme="majorHAnsi" w:cs="Arial"/>
          <w:b/>
          <w:caps/>
          <w:color w:val="365F91" w:themeColor="accent1" w:themeShade="BF"/>
          <w:sz w:val="32"/>
          <w:szCs w:val="32"/>
          <w:lang w:val="x-none" w:eastAsia="x-none"/>
        </w:rPr>
      </w:pPr>
      <w:r w:rsidRPr="009F6661">
        <w:rPr>
          <w:rFonts w:asciiTheme="majorHAnsi" w:eastAsia="Times New Roman" w:hAnsiTheme="majorHAnsi" w:cs="Arial"/>
          <w:b/>
          <w:caps/>
          <w:color w:val="365F91" w:themeColor="accent1" w:themeShade="BF"/>
          <w:sz w:val="32"/>
          <w:szCs w:val="32"/>
          <w:lang w:val="x-none" w:eastAsia="x-none"/>
        </w:rPr>
        <w:lastRenderedPageBreak/>
        <w:t>Financing the Infrastructure to Support Alternative Fuel Vehicles:</w:t>
      </w:r>
    </w:p>
    <w:p w:rsidR="00080A60" w:rsidRDefault="00080A60" w:rsidP="00D61512">
      <w:pPr>
        <w:spacing w:after="0" w:line="240" w:lineRule="auto"/>
        <w:rPr>
          <w:rFonts w:eastAsia="Times New Roman" w:cs="Arial"/>
          <w:b/>
          <w:caps/>
          <w:color w:val="365F91" w:themeColor="accent1" w:themeShade="BF"/>
          <w:sz w:val="32"/>
          <w:szCs w:val="32"/>
          <w:lang w:eastAsia="x-none"/>
        </w:rPr>
      </w:pPr>
      <w:r w:rsidRPr="009F6661">
        <w:rPr>
          <w:rFonts w:eastAsia="Times New Roman" w:cs="Arial"/>
          <w:b/>
          <w:caps/>
          <w:color w:val="365F91" w:themeColor="accent1" w:themeShade="BF"/>
          <w:sz w:val="32"/>
          <w:szCs w:val="32"/>
          <w:lang w:val="x-none" w:eastAsia="x-none"/>
        </w:rPr>
        <w:t>How Much Investment is Needed and How Will It Be Funded?</w:t>
      </w:r>
    </w:p>
    <w:p w:rsidR="00D61512" w:rsidRPr="00D61512" w:rsidRDefault="00D61512" w:rsidP="00D61512">
      <w:pPr>
        <w:spacing w:after="0" w:line="240" w:lineRule="auto"/>
        <w:rPr>
          <w:rFonts w:eastAsia="Times New Roman" w:cs="Arial"/>
          <w:b/>
          <w:caps/>
          <w:color w:val="365F91" w:themeColor="accent1" w:themeShade="BF"/>
          <w:sz w:val="32"/>
          <w:szCs w:val="32"/>
          <w:lang w:eastAsia="x-none"/>
        </w:rPr>
      </w:pPr>
    </w:p>
    <w:p w:rsidR="003B2001" w:rsidRPr="008720F3" w:rsidRDefault="003B2001" w:rsidP="0068532B">
      <w:pPr>
        <w:pStyle w:val="Heading1"/>
      </w:pPr>
      <w:bookmarkStart w:id="3" w:name="_Toc352854162"/>
      <w:r w:rsidRPr="008720F3">
        <w:t>ABSTRACT</w:t>
      </w:r>
      <w:bookmarkEnd w:id="3"/>
    </w:p>
    <w:p w:rsidR="003B2001" w:rsidRPr="0068532B" w:rsidRDefault="003B2001" w:rsidP="00D1692C">
      <w:pPr>
        <w:rPr>
          <w:rFonts w:cs="Arial"/>
          <w:szCs w:val="24"/>
        </w:rPr>
      </w:pPr>
      <w:r w:rsidRPr="0068532B">
        <w:rPr>
          <w:rFonts w:cs="Arial"/>
          <w:szCs w:val="24"/>
        </w:rPr>
        <w:t>Countries around the world have implemented regulatory requirements to improve fuel economy and reduce greenhouse gas emissions from vehicles.</w:t>
      </w:r>
      <w:r w:rsidR="00435A15" w:rsidRPr="0068532B">
        <w:rPr>
          <w:rFonts w:cs="Arial"/>
          <w:szCs w:val="24"/>
        </w:rPr>
        <w:t xml:space="preserve"> </w:t>
      </w:r>
      <w:r w:rsidRPr="0068532B">
        <w:rPr>
          <w:rFonts w:cs="Arial"/>
          <w:szCs w:val="24"/>
        </w:rPr>
        <w:t>These regulations encourage automakers to sell alternative fuel vehicles (AFVs), which use f</w:t>
      </w:r>
      <w:r w:rsidR="00D61512">
        <w:rPr>
          <w:rFonts w:cs="Arial"/>
          <w:szCs w:val="24"/>
        </w:rPr>
        <w:t>uels such as natural gas</w:t>
      </w:r>
      <w:r w:rsidRPr="0068532B">
        <w:rPr>
          <w:rFonts w:cs="Arial"/>
          <w:szCs w:val="24"/>
        </w:rPr>
        <w:t>, electricity, hydrogen, and biofuels.</w:t>
      </w:r>
      <w:r w:rsidR="00435A15" w:rsidRPr="0068532B">
        <w:rPr>
          <w:rFonts w:cs="Arial"/>
          <w:szCs w:val="24"/>
        </w:rPr>
        <w:t xml:space="preserve"> </w:t>
      </w:r>
      <w:r w:rsidRPr="0068532B">
        <w:rPr>
          <w:rFonts w:cs="Arial"/>
          <w:szCs w:val="24"/>
        </w:rPr>
        <w:t>Automakers are already making investments in developing and manufacturing AFVs.</w:t>
      </w:r>
      <w:r w:rsidR="00435A15" w:rsidRPr="0068532B">
        <w:rPr>
          <w:rFonts w:cs="Arial"/>
          <w:szCs w:val="24"/>
        </w:rPr>
        <w:t xml:space="preserve"> </w:t>
      </w:r>
      <w:r w:rsidRPr="0068532B">
        <w:rPr>
          <w:rFonts w:cs="Arial"/>
          <w:szCs w:val="24"/>
        </w:rPr>
        <w:t>There are many challenges to increasing AFV market share and providing appropriate support of fueling infrastructure for these unconventional vehicles.</w:t>
      </w:r>
      <w:r w:rsidR="00435A15" w:rsidRPr="0068532B">
        <w:rPr>
          <w:rFonts w:cs="Arial"/>
          <w:szCs w:val="24"/>
        </w:rPr>
        <w:t xml:space="preserve"> </w:t>
      </w:r>
      <w:r w:rsidRPr="0068532B">
        <w:rPr>
          <w:rFonts w:cs="Arial"/>
          <w:szCs w:val="24"/>
        </w:rPr>
        <w:t>The cost of installing new refueling infrastructure is high.</w:t>
      </w:r>
      <w:r w:rsidR="00435A15" w:rsidRPr="0068532B">
        <w:rPr>
          <w:rFonts w:cs="Arial"/>
          <w:szCs w:val="24"/>
        </w:rPr>
        <w:t xml:space="preserve"> </w:t>
      </w:r>
      <w:r w:rsidRPr="0068532B">
        <w:rPr>
          <w:rFonts w:cs="Arial"/>
          <w:szCs w:val="24"/>
        </w:rPr>
        <w:t xml:space="preserve">The lack of available breadth of the fueling infrastructure is one factor which </w:t>
      </w:r>
      <w:r w:rsidR="00BF599C" w:rsidRPr="0068532B">
        <w:rPr>
          <w:rFonts w:cs="Arial"/>
          <w:szCs w:val="24"/>
        </w:rPr>
        <w:t xml:space="preserve">may </w:t>
      </w:r>
      <w:r w:rsidRPr="0068532B">
        <w:rPr>
          <w:rFonts w:cs="Arial"/>
          <w:szCs w:val="24"/>
        </w:rPr>
        <w:t>reduce consumer acceptance and confidence in this new technology.</w:t>
      </w:r>
      <w:r w:rsidR="00435A15" w:rsidRPr="0068532B">
        <w:rPr>
          <w:rFonts w:cs="Arial"/>
          <w:szCs w:val="24"/>
        </w:rPr>
        <w:t xml:space="preserve"> </w:t>
      </w:r>
    </w:p>
    <w:p w:rsidR="003B2001" w:rsidRPr="0068532B" w:rsidRDefault="003B2001" w:rsidP="00D1692C">
      <w:pPr>
        <w:rPr>
          <w:rFonts w:cs="Arial"/>
          <w:szCs w:val="24"/>
        </w:rPr>
      </w:pPr>
      <w:r w:rsidRPr="0068532B">
        <w:rPr>
          <w:rFonts w:cs="Arial"/>
          <w:szCs w:val="24"/>
        </w:rPr>
        <w:t>Private rates of return from investing in such infrastructure can be low or negative for the private sector, and the required infrastructure spending may be in excess of the private sector’s ability to finance.</w:t>
      </w:r>
      <w:r w:rsidR="00435A15" w:rsidRPr="0068532B">
        <w:rPr>
          <w:rFonts w:cs="Arial"/>
          <w:szCs w:val="24"/>
        </w:rPr>
        <w:t xml:space="preserve"> </w:t>
      </w:r>
      <w:r w:rsidR="00113E29" w:rsidRPr="0068532B">
        <w:rPr>
          <w:rFonts w:cs="Arial"/>
          <w:szCs w:val="24"/>
        </w:rPr>
        <w:t>However, i</w:t>
      </w:r>
      <w:r w:rsidRPr="0068532B">
        <w:rPr>
          <w:rFonts w:cs="Arial"/>
          <w:szCs w:val="24"/>
        </w:rPr>
        <w:t>nfrastructure for fueling may also have “public good” attributes, thereby providing a role for government funding.</w:t>
      </w:r>
      <w:r w:rsidR="00435A15" w:rsidRPr="0068532B">
        <w:rPr>
          <w:rFonts w:cs="Arial"/>
          <w:szCs w:val="24"/>
        </w:rPr>
        <w:t xml:space="preserve"> </w:t>
      </w:r>
      <w:r w:rsidR="00EA72C3" w:rsidRPr="0068532B">
        <w:rPr>
          <w:rFonts w:cs="Arial"/>
          <w:szCs w:val="24"/>
        </w:rPr>
        <w:t xml:space="preserve">This paper describes several different types of alternative fuels and summarizes the existing infrastructure investments to support AFVs in several countries and one U.S. state (Brazil, China, the European Union, the United States, and California). </w:t>
      </w:r>
      <w:r w:rsidRPr="0068532B">
        <w:rPr>
          <w:rFonts w:cs="Arial"/>
          <w:szCs w:val="24"/>
        </w:rPr>
        <w:t xml:space="preserve">This research </w:t>
      </w:r>
      <w:r w:rsidR="00BF599C" w:rsidRPr="0068532B">
        <w:rPr>
          <w:rFonts w:cs="Arial"/>
          <w:szCs w:val="24"/>
        </w:rPr>
        <w:t>offer</w:t>
      </w:r>
      <w:r w:rsidRPr="0068532B">
        <w:rPr>
          <w:rFonts w:cs="Arial"/>
          <w:szCs w:val="24"/>
        </w:rPr>
        <w:t>s a long run projection of what the likely future investment requirements would be</w:t>
      </w:r>
      <w:r w:rsidR="00BF599C" w:rsidRPr="0068532B">
        <w:rPr>
          <w:rFonts w:cs="Arial"/>
          <w:szCs w:val="24"/>
        </w:rPr>
        <w:t>,</w:t>
      </w:r>
      <w:r w:rsidRPr="0068532B">
        <w:rPr>
          <w:rFonts w:cs="Arial"/>
          <w:szCs w:val="24"/>
        </w:rPr>
        <w:t xml:space="preserve"> in order to support future AFV volumes.</w:t>
      </w:r>
      <w:r w:rsidR="00435A15" w:rsidRPr="0068532B">
        <w:rPr>
          <w:rFonts w:cs="Arial"/>
          <w:szCs w:val="24"/>
        </w:rPr>
        <w:t xml:space="preserve"> </w:t>
      </w:r>
      <w:r w:rsidR="00BF599C" w:rsidRPr="0068532B">
        <w:rPr>
          <w:rFonts w:cs="Arial"/>
          <w:szCs w:val="24"/>
        </w:rPr>
        <w:t>The authors have also included a</w:t>
      </w:r>
      <w:r w:rsidRPr="0068532B">
        <w:rPr>
          <w:rFonts w:cs="Arial"/>
          <w:szCs w:val="24"/>
        </w:rPr>
        <w:t>n assessment of the gap between what infrastructure investment is needed for successful growth of AFV sales and what has been built out so far, with particular attention to selected countries</w:t>
      </w:r>
      <w:r w:rsidR="00BF599C" w:rsidRPr="0068532B">
        <w:rPr>
          <w:rFonts w:cs="Arial"/>
          <w:szCs w:val="24"/>
        </w:rPr>
        <w:t>.</w:t>
      </w:r>
      <w:r w:rsidR="00435A15" w:rsidRPr="0068532B">
        <w:rPr>
          <w:rFonts w:cs="Arial"/>
          <w:szCs w:val="24"/>
        </w:rPr>
        <w:t xml:space="preserve"> </w:t>
      </w:r>
    </w:p>
    <w:p w:rsidR="003B2001" w:rsidRPr="0068532B" w:rsidRDefault="00BF599C" w:rsidP="00D1692C">
      <w:pPr>
        <w:rPr>
          <w:rFonts w:cs="Arial"/>
          <w:szCs w:val="24"/>
        </w:rPr>
      </w:pPr>
      <w:r w:rsidRPr="0068532B">
        <w:rPr>
          <w:rFonts w:cs="Arial"/>
          <w:szCs w:val="24"/>
        </w:rPr>
        <w:t>S</w:t>
      </w:r>
      <w:r w:rsidR="003B2001" w:rsidRPr="0068532B">
        <w:rPr>
          <w:rFonts w:cs="Arial"/>
          <w:szCs w:val="24"/>
        </w:rPr>
        <w:t>everal examples of public financing programs and public-private partnerships to encourage sales of AFVs, construction of refueling infrastructure, and adoption of other environmental technologies are detailed.</w:t>
      </w:r>
      <w:r w:rsidR="00435A15" w:rsidRPr="0068532B">
        <w:rPr>
          <w:rFonts w:cs="Arial"/>
          <w:szCs w:val="24"/>
        </w:rPr>
        <w:t xml:space="preserve"> </w:t>
      </w:r>
      <w:r w:rsidR="003B2001" w:rsidRPr="0068532B">
        <w:rPr>
          <w:rFonts w:cs="Arial"/>
          <w:szCs w:val="24"/>
        </w:rPr>
        <w:t>This paper will describe the costs and benefits of various funding models</w:t>
      </w:r>
      <w:r w:rsidR="00CE3F11" w:rsidRPr="0068532B">
        <w:rPr>
          <w:rFonts w:cs="Arial"/>
          <w:szCs w:val="24"/>
        </w:rPr>
        <w:t xml:space="preserve"> (e.g. </w:t>
      </w:r>
      <w:r w:rsidR="003B2001" w:rsidRPr="0068532B">
        <w:rPr>
          <w:rFonts w:cs="Arial"/>
          <w:szCs w:val="24"/>
        </w:rPr>
        <w:t>tax incentives, government loan programs, convertible bonds, and joint ventures</w:t>
      </w:r>
      <w:r w:rsidR="00CE3F11" w:rsidRPr="0068532B">
        <w:rPr>
          <w:rFonts w:cs="Arial"/>
          <w:szCs w:val="24"/>
        </w:rPr>
        <w:t>)</w:t>
      </w:r>
      <w:r w:rsidR="003B2001" w:rsidRPr="0068532B">
        <w:rPr>
          <w:rFonts w:cs="Arial"/>
          <w:szCs w:val="24"/>
        </w:rPr>
        <w:t xml:space="preserve"> which have been or could be put in place to support AFV infrastructure investment spending.</w:t>
      </w:r>
      <w:r w:rsidR="00435A15" w:rsidRPr="0068532B">
        <w:rPr>
          <w:rFonts w:cs="Arial"/>
          <w:szCs w:val="24"/>
        </w:rPr>
        <w:t xml:space="preserve"> </w:t>
      </w:r>
    </w:p>
    <w:p w:rsidR="003B2001" w:rsidRPr="008720F3" w:rsidRDefault="003B2001">
      <w:pPr>
        <w:rPr>
          <w:rFonts w:cs="Arial"/>
          <w:b/>
          <w:sz w:val="24"/>
          <w:szCs w:val="24"/>
        </w:rPr>
      </w:pPr>
      <w:r w:rsidRPr="008720F3">
        <w:rPr>
          <w:rFonts w:cs="Arial"/>
          <w:b/>
          <w:sz w:val="24"/>
          <w:szCs w:val="24"/>
        </w:rPr>
        <w:br w:type="page"/>
      </w:r>
    </w:p>
    <w:p w:rsidR="009F6661" w:rsidRDefault="009F6661">
      <w:pPr>
        <w:rPr>
          <w:rFonts w:eastAsia="Times New Roman" w:cstheme="minorHAnsi"/>
          <w:b/>
          <w:bCs/>
          <w:caps/>
          <w:color w:val="365F91" w:themeColor="accent1" w:themeShade="BF"/>
          <w:kern w:val="32"/>
          <w:sz w:val="32"/>
          <w:szCs w:val="24"/>
          <w:lang w:val="x-none" w:eastAsia="x-none"/>
        </w:rPr>
      </w:pPr>
      <w:r>
        <w:lastRenderedPageBreak/>
        <w:br w:type="page"/>
      </w:r>
    </w:p>
    <w:p w:rsidR="00404DE2" w:rsidRPr="008720F3" w:rsidRDefault="00404DE2" w:rsidP="0068532B">
      <w:pPr>
        <w:pStyle w:val="Heading1"/>
      </w:pPr>
      <w:bookmarkStart w:id="4" w:name="_Toc352854163"/>
      <w:r w:rsidRPr="008720F3">
        <w:lastRenderedPageBreak/>
        <w:t>INTRODUCTION</w:t>
      </w:r>
      <w:bookmarkEnd w:id="4"/>
    </w:p>
    <w:p w:rsidR="006059E3" w:rsidRDefault="00F55718" w:rsidP="00D1692C">
      <w:pPr>
        <w:rPr>
          <w:rFonts w:cs="Arial"/>
          <w:szCs w:val="24"/>
        </w:rPr>
      </w:pPr>
      <w:r w:rsidRPr="0068532B">
        <w:rPr>
          <w:rFonts w:cs="Arial"/>
          <w:szCs w:val="24"/>
        </w:rPr>
        <w:t>Countries around the w</w:t>
      </w:r>
      <w:r w:rsidR="00900B08" w:rsidRPr="0068532B">
        <w:rPr>
          <w:rFonts w:cs="Arial"/>
          <w:szCs w:val="24"/>
        </w:rPr>
        <w:t xml:space="preserve">orld have implemented regulations which incentivize </w:t>
      </w:r>
      <w:r w:rsidR="0090609A" w:rsidRPr="0068532B">
        <w:rPr>
          <w:rFonts w:cs="Arial"/>
          <w:szCs w:val="24"/>
        </w:rPr>
        <w:t xml:space="preserve">fuel economy improvements and </w:t>
      </w:r>
      <w:r w:rsidR="00900B08" w:rsidRPr="0068532B">
        <w:rPr>
          <w:rFonts w:cs="Arial"/>
          <w:szCs w:val="24"/>
        </w:rPr>
        <w:t>reductions in greenhouse gas (GHG)</w:t>
      </w:r>
      <w:r w:rsidR="00D45363">
        <w:rPr>
          <w:rStyle w:val="FootnoteReference"/>
          <w:rFonts w:cs="Arial"/>
          <w:szCs w:val="24"/>
        </w:rPr>
        <w:footnoteReference w:id="1"/>
      </w:r>
      <w:r w:rsidR="00900B08" w:rsidRPr="0068532B">
        <w:rPr>
          <w:rFonts w:cs="Arial"/>
          <w:szCs w:val="24"/>
        </w:rPr>
        <w:t xml:space="preserve"> emissions</w:t>
      </w:r>
      <w:r w:rsidR="0090609A" w:rsidRPr="0068532B">
        <w:rPr>
          <w:rFonts w:cs="Arial"/>
          <w:szCs w:val="24"/>
        </w:rPr>
        <w:t xml:space="preserve"> from vehicles</w:t>
      </w:r>
      <w:r w:rsidR="006059E3" w:rsidRPr="0068532B">
        <w:rPr>
          <w:rFonts w:cs="Arial"/>
          <w:szCs w:val="24"/>
        </w:rPr>
        <w:t xml:space="preserve"> (see </w:t>
      </w:r>
      <w:r w:rsidR="00973DBF" w:rsidRPr="0068532B">
        <w:rPr>
          <w:rFonts w:cs="Arial"/>
          <w:szCs w:val="24"/>
        </w:rPr>
        <w:t xml:space="preserve">Figure </w:t>
      </w:r>
      <w:r w:rsidR="006059E3" w:rsidRPr="0068532B">
        <w:rPr>
          <w:rFonts w:cs="Arial"/>
          <w:szCs w:val="24"/>
        </w:rPr>
        <w:t>1</w:t>
      </w:r>
      <w:r w:rsidR="00BD3D56" w:rsidRPr="0068532B">
        <w:rPr>
          <w:rFonts w:cs="Arial"/>
          <w:szCs w:val="24"/>
        </w:rPr>
        <w:t xml:space="preserve"> below</w:t>
      </w:r>
      <w:r w:rsidR="006059E3" w:rsidRPr="0068532B">
        <w:rPr>
          <w:rFonts w:cs="Arial"/>
          <w:szCs w:val="24"/>
        </w:rPr>
        <w:t>)</w:t>
      </w:r>
      <w:r w:rsidR="0090609A" w:rsidRPr="0068532B">
        <w:rPr>
          <w:rFonts w:cs="Arial"/>
          <w:szCs w:val="24"/>
        </w:rPr>
        <w:t>. The purpose of these regulations is largely, although not exclusively, to reduce the impact of GHG emissions—which include carbon dioxide (CO</w:t>
      </w:r>
      <w:r w:rsidR="0090609A" w:rsidRPr="0068532B">
        <w:rPr>
          <w:rFonts w:cs="Arial"/>
          <w:szCs w:val="24"/>
          <w:vertAlign w:val="subscript"/>
        </w:rPr>
        <w:t>2</w:t>
      </w:r>
      <w:r w:rsidR="0090609A" w:rsidRPr="0068532B">
        <w:rPr>
          <w:rFonts w:cs="Arial"/>
          <w:szCs w:val="24"/>
        </w:rPr>
        <w:t>), methane (CH</w:t>
      </w:r>
      <w:r w:rsidR="0090609A" w:rsidRPr="0068532B">
        <w:rPr>
          <w:rFonts w:cs="Arial"/>
          <w:szCs w:val="24"/>
          <w:vertAlign w:val="subscript"/>
        </w:rPr>
        <w:t>4</w:t>
      </w:r>
      <w:r w:rsidR="0090609A" w:rsidRPr="0068532B">
        <w:rPr>
          <w:rFonts w:cs="Arial"/>
          <w:szCs w:val="24"/>
        </w:rPr>
        <w:t>), nitrous oxide (N</w:t>
      </w:r>
      <w:r w:rsidR="0090609A" w:rsidRPr="0068532B">
        <w:rPr>
          <w:rFonts w:cs="Arial"/>
          <w:szCs w:val="24"/>
          <w:vertAlign w:val="subscript"/>
        </w:rPr>
        <w:t>2</w:t>
      </w:r>
      <w:r w:rsidR="0090609A" w:rsidRPr="0068532B">
        <w:rPr>
          <w:rFonts w:cs="Arial"/>
          <w:szCs w:val="24"/>
        </w:rPr>
        <w:t xml:space="preserve">O), and other gases—on the environment, as well as to enhance energy security by reducing reliance on foreign energy imports. In addition to encouraging automakers to </w:t>
      </w:r>
      <w:r w:rsidR="006059E3" w:rsidRPr="0068532B">
        <w:rPr>
          <w:rFonts w:cs="Arial"/>
          <w:szCs w:val="24"/>
        </w:rPr>
        <w:t>improve performance of gasoline-powered, internal combustion engine vehicles, t</w:t>
      </w:r>
      <w:r w:rsidRPr="0068532B">
        <w:rPr>
          <w:rFonts w:cs="Arial"/>
          <w:szCs w:val="24"/>
        </w:rPr>
        <w:t xml:space="preserve">hese regulations encourage automakers to sell alternative </w:t>
      </w:r>
      <w:r w:rsidR="006059E3" w:rsidRPr="0068532B">
        <w:rPr>
          <w:rFonts w:cs="Arial"/>
          <w:szCs w:val="24"/>
        </w:rPr>
        <w:t xml:space="preserve">fuel vehicles (AFVs), which are powered by other </w:t>
      </w:r>
      <w:r w:rsidRPr="0068532B">
        <w:rPr>
          <w:rFonts w:cs="Arial"/>
          <w:szCs w:val="24"/>
        </w:rPr>
        <w:t>fuels</w:t>
      </w:r>
      <w:r w:rsidR="006059E3" w:rsidRPr="0068532B">
        <w:rPr>
          <w:rFonts w:cs="Arial"/>
          <w:szCs w:val="24"/>
        </w:rPr>
        <w:t>,</w:t>
      </w:r>
      <w:r w:rsidR="00D61512">
        <w:rPr>
          <w:rFonts w:cs="Arial"/>
          <w:szCs w:val="24"/>
        </w:rPr>
        <w:t xml:space="preserve"> such as natural gas</w:t>
      </w:r>
      <w:r w:rsidRPr="0068532B">
        <w:rPr>
          <w:rFonts w:cs="Arial"/>
          <w:szCs w:val="24"/>
        </w:rPr>
        <w:t xml:space="preserve">, electricity, hydrogen, and biofuels. </w:t>
      </w:r>
    </w:p>
    <w:p w:rsidR="0068532B" w:rsidRPr="0068532B" w:rsidRDefault="0068532B" w:rsidP="003E3543">
      <w:pPr>
        <w:pStyle w:val="Caption"/>
        <w:keepNext/>
        <w:spacing w:after="60" w:line="276" w:lineRule="auto"/>
        <w:rPr>
          <w:rFonts w:cs="Arial"/>
          <w:color w:val="auto"/>
          <w:sz w:val="20"/>
          <w:szCs w:val="24"/>
        </w:rPr>
      </w:pPr>
      <w:bookmarkStart w:id="5" w:name="_Toc352249436"/>
      <w:r w:rsidRPr="0068532B">
        <w:rPr>
          <w:rFonts w:cs="Arial"/>
          <w:color w:val="auto"/>
          <w:sz w:val="20"/>
          <w:szCs w:val="24"/>
        </w:rPr>
        <w:t xml:space="preserve">Figure </w:t>
      </w:r>
      <w:r w:rsidRPr="0068532B">
        <w:rPr>
          <w:rFonts w:cs="Arial"/>
          <w:color w:val="auto"/>
          <w:sz w:val="20"/>
          <w:szCs w:val="24"/>
        </w:rPr>
        <w:fldChar w:fldCharType="begin"/>
      </w:r>
      <w:r w:rsidRPr="0068532B">
        <w:rPr>
          <w:rFonts w:cs="Arial"/>
          <w:color w:val="auto"/>
          <w:sz w:val="20"/>
          <w:szCs w:val="24"/>
        </w:rPr>
        <w:instrText xml:space="preserve"> SEQ Figure \* ARABIC </w:instrText>
      </w:r>
      <w:r w:rsidRPr="0068532B">
        <w:rPr>
          <w:rFonts w:cs="Arial"/>
          <w:color w:val="auto"/>
          <w:sz w:val="20"/>
          <w:szCs w:val="24"/>
        </w:rPr>
        <w:fldChar w:fldCharType="separate"/>
      </w:r>
      <w:r w:rsidR="00E01A3B">
        <w:rPr>
          <w:rFonts w:cs="Arial"/>
          <w:noProof/>
          <w:color w:val="auto"/>
          <w:sz w:val="20"/>
          <w:szCs w:val="24"/>
        </w:rPr>
        <w:t>1</w:t>
      </w:r>
      <w:r w:rsidRPr="0068532B">
        <w:rPr>
          <w:rFonts w:cs="Arial"/>
          <w:color w:val="auto"/>
          <w:sz w:val="20"/>
          <w:szCs w:val="24"/>
        </w:rPr>
        <w:fldChar w:fldCharType="end"/>
      </w:r>
      <w:r w:rsidRPr="0068532B">
        <w:rPr>
          <w:rFonts w:cs="Arial"/>
          <w:color w:val="auto"/>
          <w:sz w:val="20"/>
          <w:szCs w:val="24"/>
        </w:rPr>
        <w:t>: Fuel Economy Standards for Select Countries, MPG, 2000-2025</w:t>
      </w:r>
      <w:bookmarkEnd w:id="5"/>
    </w:p>
    <w:p w:rsidR="00D66476" w:rsidRPr="008720F3" w:rsidRDefault="003E7A54" w:rsidP="0068532B">
      <w:pPr>
        <w:spacing w:line="360" w:lineRule="auto"/>
        <w:rPr>
          <w:rFonts w:cs="Arial"/>
          <w:i/>
          <w:sz w:val="20"/>
          <w:szCs w:val="20"/>
        </w:rPr>
      </w:pPr>
      <w:r>
        <w:rPr>
          <w:rFonts w:ascii="Arial" w:hAnsi="Arial" w:cs="Arial"/>
          <w:noProof/>
          <w:sz w:val="24"/>
          <w:szCs w:val="24"/>
        </w:rPr>
        <w:drawing>
          <wp:inline distT="0" distB="0" distL="0" distR="0" wp14:anchorId="6952115C" wp14:editId="0C70D296">
            <wp:extent cx="5939790" cy="2582545"/>
            <wp:effectExtent l="19050" t="19050" r="22860" b="27305"/>
            <wp:docPr id="1" name="Picture 1" descr="\\LOTUS\CAR Files\RES-SEDS-HILL\Alternative Fuel Vehicle Infrastructure\Figures for Consideration\Trends in Fuel Economy Standards for Select Countries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TUS\CAR Files\RES-SEDS-HILL\Alternative Fuel Vehicle Infrastructure\Figures for Consideration\Trends in Fuel Economy Standards for Select Countries V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9790" cy="2582545"/>
                    </a:xfrm>
                    <a:prstGeom prst="rect">
                      <a:avLst/>
                    </a:prstGeom>
                    <a:noFill/>
                    <a:ln>
                      <a:solidFill>
                        <a:schemeClr val="tx1"/>
                      </a:solidFill>
                    </a:ln>
                  </pic:spPr>
                </pic:pic>
              </a:graphicData>
            </a:graphic>
          </wp:inline>
        </w:drawing>
      </w:r>
      <w:r w:rsidR="0078573C" w:rsidRPr="008720F3">
        <w:rPr>
          <w:rFonts w:cs="Arial"/>
          <w:i/>
          <w:sz w:val="20"/>
          <w:szCs w:val="20"/>
        </w:rPr>
        <w:t>Source</w:t>
      </w:r>
      <w:r w:rsidR="00D66476" w:rsidRPr="008720F3">
        <w:rPr>
          <w:rFonts w:cs="Arial"/>
          <w:i/>
          <w:sz w:val="20"/>
          <w:szCs w:val="20"/>
        </w:rPr>
        <w:t xml:space="preserve">: </w:t>
      </w:r>
      <w:r w:rsidR="00D473F1" w:rsidRPr="008720F3">
        <w:rPr>
          <w:rFonts w:cs="Arial"/>
          <w:i/>
          <w:sz w:val="20"/>
          <w:szCs w:val="20"/>
        </w:rPr>
        <w:t>ICCT 2012</w:t>
      </w:r>
    </w:p>
    <w:p w:rsidR="00B42A84" w:rsidRPr="00D14A7B" w:rsidRDefault="00B42A84" w:rsidP="00B42A84">
      <w:pPr>
        <w:rPr>
          <w:rFonts w:cs="Arial"/>
          <w:szCs w:val="24"/>
        </w:rPr>
      </w:pPr>
      <w:r w:rsidRPr="00D14A7B">
        <w:rPr>
          <w:rFonts w:cs="Arial"/>
          <w:szCs w:val="24"/>
        </w:rPr>
        <w:t>In the United States, fuel economy targets are mandated by Corporate Average Fuel Economy (CAFE) standards. While there are complex dynamics involving efficiency, cost, and consumer demands, CAFE standards are “the single most powerful regulatory mechanism affecting energy use in the U.S. transportation sector.”</w:t>
      </w:r>
      <w:r w:rsidRPr="00D14A7B">
        <w:rPr>
          <w:rStyle w:val="FootnoteReference"/>
          <w:rFonts w:cs="Arial"/>
          <w:szCs w:val="24"/>
        </w:rPr>
        <w:footnoteReference w:id="2"/>
      </w:r>
      <w:r w:rsidRPr="00D14A7B">
        <w:rPr>
          <w:rFonts w:cs="Arial"/>
          <w:szCs w:val="24"/>
        </w:rPr>
        <w:t xml:space="preserve"> Policies driving innovation in vehicle fuel efficiency are important, because the long-run energy outlook suggests the potential for high and volatile oil prices.</w:t>
      </w:r>
    </w:p>
    <w:p w:rsidR="00B42A84" w:rsidRPr="00D14A7B" w:rsidRDefault="00315DDC" w:rsidP="00B42A84">
      <w:pPr>
        <w:rPr>
          <w:rFonts w:cs="Arial"/>
          <w:szCs w:val="24"/>
        </w:rPr>
      </w:pPr>
      <w:r w:rsidRPr="00D14A7B">
        <w:rPr>
          <w:rFonts w:cs="Arial"/>
          <w:szCs w:val="24"/>
        </w:rPr>
        <w:t>O</w:t>
      </w:r>
      <w:r w:rsidR="00B42A84" w:rsidRPr="00D14A7B">
        <w:rPr>
          <w:rFonts w:cs="Arial"/>
          <w:szCs w:val="24"/>
        </w:rPr>
        <w:t xml:space="preserve">n </w:t>
      </w:r>
      <w:r w:rsidRPr="00D14A7B">
        <w:rPr>
          <w:rFonts w:cs="Arial"/>
          <w:szCs w:val="24"/>
        </w:rPr>
        <w:t>a</w:t>
      </w:r>
      <w:r w:rsidR="00B42A84" w:rsidRPr="00D14A7B">
        <w:rPr>
          <w:rFonts w:cs="Arial"/>
          <w:szCs w:val="24"/>
        </w:rPr>
        <w:t xml:space="preserve"> global scale, there will be high growth in the driving age population over the next decade</w:t>
      </w:r>
      <w:r w:rsidR="00113E29" w:rsidRPr="00D14A7B">
        <w:rPr>
          <w:rFonts w:cs="Arial"/>
          <w:szCs w:val="24"/>
        </w:rPr>
        <w:t>,</w:t>
      </w:r>
      <w:r w:rsidR="00B42A84" w:rsidRPr="00D14A7B">
        <w:rPr>
          <w:rFonts w:cs="Arial"/>
          <w:szCs w:val="24"/>
        </w:rPr>
        <w:t xml:space="preserve"> and demand for vehicles is rising. In developing countries like China, absent policy, the number of vehicles on the road will increase </w:t>
      </w:r>
      <w:r w:rsidR="007278E0" w:rsidRPr="00D14A7B">
        <w:rPr>
          <w:rFonts w:cs="Arial"/>
          <w:szCs w:val="24"/>
        </w:rPr>
        <w:t>considerably</w:t>
      </w:r>
      <w:r w:rsidR="00B42A84" w:rsidRPr="00D14A7B">
        <w:rPr>
          <w:rFonts w:cs="Arial"/>
          <w:szCs w:val="24"/>
        </w:rPr>
        <w:t xml:space="preserve">, intensifying the already severe pollution and congestion issues in urban areas. More efficient vehicles and AFVs will be required to meet future mobility needs across the world. </w:t>
      </w:r>
    </w:p>
    <w:p w:rsidR="002740E1" w:rsidRPr="00D14A7B" w:rsidRDefault="00BD3D56" w:rsidP="00027429">
      <w:pPr>
        <w:rPr>
          <w:rFonts w:cs="Arial"/>
          <w:szCs w:val="24"/>
        </w:rPr>
      </w:pPr>
      <w:r w:rsidRPr="00D14A7B">
        <w:rPr>
          <w:rFonts w:cs="Arial"/>
          <w:szCs w:val="24"/>
        </w:rPr>
        <w:lastRenderedPageBreak/>
        <w:t xml:space="preserve">Automakers are already making investments in developing and manufacturing AFVs. </w:t>
      </w:r>
      <w:r w:rsidR="002740E1" w:rsidRPr="00D14A7B">
        <w:rPr>
          <w:rFonts w:cs="Arial"/>
          <w:szCs w:val="24"/>
        </w:rPr>
        <w:t>In 2012, Ford sold a record 11,600 natural gas vehicles</w:t>
      </w:r>
      <w:r w:rsidR="00A72AD4" w:rsidRPr="00D14A7B">
        <w:rPr>
          <w:rFonts w:cs="Arial"/>
          <w:szCs w:val="24"/>
        </w:rPr>
        <w:t>—</w:t>
      </w:r>
      <w:r w:rsidR="002740E1" w:rsidRPr="00D14A7B">
        <w:rPr>
          <w:rFonts w:cs="Arial"/>
          <w:szCs w:val="24"/>
        </w:rPr>
        <w:t>more</w:t>
      </w:r>
      <w:r w:rsidR="00A72AD4" w:rsidRPr="00D14A7B">
        <w:rPr>
          <w:rFonts w:cs="Arial"/>
          <w:szCs w:val="24"/>
        </w:rPr>
        <w:t xml:space="preserve"> </w:t>
      </w:r>
      <w:r w:rsidR="002740E1" w:rsidRPr="00D14A7B">
        <w:rPr>
          <w:rFonts w:cs="Arial"/>
          <w:szCs w:val="24"/>
        </w:rPr>
        <w:t>than three times as many as it sold in 2010. Honda also saw increased interest in its natural gas-powered Honda Civic GX</w:t>
      </w:r>
      <w:r w:rsidR="00315DDC" w:rsidRPr="00D14A7B">
        <w:rPr>
          <w:rFonts w:cs="Arial"/>
          <w:szCs w:val="24"/>
        </w:rPr>
        <w:t>;</w:t>
      </w:r>
      <w:r w:rsidR="002740E1" w:rsidRPr="00D14A7B">
        <w:rPr>
          <w:rFonts w:cs="Arial"/>
          <w:szCs w:val="24"/>
        </w:rPr>
        <w:t xml:space="preserve"> General Motors and Chrysler recently began offering natural gas pickup trucks.</w:t>
      </w:r>
      <w:r w:rsidR="002740E1" w:rsidRPr="00D14A7B">
        <w:rPr>
          <w:rStyle w:val="FootnoteReference"/>
          <w:rFonts w:cs="Arial"/>
          <w:szCs w:val="24"/>
        </w:rPr>
        <w:footnoteReference w:id="3"/>
      </w:r>
    </w:p>
    <w:p w:rsidR="002740E1" w:rsidRPr="00D14A7B" w:rsidRDefault="00A72AD4" w:rsidP="00027429">
      <w:pPr>
        <w:rPr>
          <w:rFonts w:cs="Arial"/>
          <w:szCs w:val="24"/>
        </w:rPr>
      </w:pPr>
      <w:r w:rsidRPr="00D14A7B">
        <w:rPr>
          <w:rFonts w:cs="Arial"/>
          <w:szCs w:val="24"/>
        </w:rPr>
        <w:t>P</w:t>
      </w:r>
      <w:r w:rsidR="002740E1" w:rsidRPr="00D14A7B">
        <w:rPr>
          <w:rFonts w:cs="Arial"/>
          <w:szCs w:val="24"/>
        </w:rPr>
        <w:t>lug-in electric vehicle</w:t>
      </w:r>
      <w:r w:rsidRPr="00D14A7B">
        <w:rPr>
          <w:rFonts w:cs="Arial"/>
          <w:szCs w:val="24"/>
        </w:rPr>
        <w:t>s</w:t>
      </w:r>
      <w:r w:rsidR="002740E1" w:rsidRPr="00D14A7B">
        <w:rPr>
          <w:rFonts w:cs="Arial"/>
          <w:szCs w:val="24"/>
        </w:rPr>
        <w:t xml:space="preserve"> (PEV</w:t>
      </w:r>
      <w:r w:rsidRPr="00D14A7B">
        <w:rPr>
          <w:rFonts w:cs="Arial"/>
          <w:szCs w:val="24"/>
        </w:rPr>
        <w:t>s</w:t>
      </w:r>
      <w:r w:rsidR="002740E1" w:rsidRPr="00D14A7B">
        <w:rPr>
          <w:rFonts w:cs="Arial"/>
          <w:szCs w:val="24"/>
        </w:rPr>
        <w:t>) include battery electric vehicles (BEVs) such as the Nissan Leaf</w:t>
      </w:r>
      <w:r w:rsidR="003B64BF">
        <w:rPr>
          <w:rFonts w:cs="Arial"/>
          <w:szCs w:val="24"/>
        </w:rPr>
        <w:t xml:space="preserve"> and Focus </w:t>
      </w:r>
      <w:r w:rsidR="00BE54E5">
        <w:rPr>
          <w:rFonts w:cs="Arial"/>
          <w:szCs w:val="24"/>
        </w:rPr>
        <w:t>Electric</w:t>
      </w:r>
      <w:r w:rsidR="002740E1" w:rsidRPr="00D14A7B">
        <w:rPr>
          <w:rFonts w:cs="Arial"/>
          <w:szCs w:val="24"/>
        </w:rPr>
        <w:t xml:space="preserve">, plug-in hybrid electric vehicles (PHEVs) such as the </w:t>
      </w:r>
      <w:r w:rsidR="003B64BF">
        <w:rPr>
          <w:rFonts w:cs="Arial"/>
          <w:szCs w:val="24"/>
        </w:rPr>
        <w:t xml:space="preserve">Chevrolet Volt, </w:t>
      </w:r>
      <w:r w:rsidR="002740E1" w:rsidRPr="00D14A7B">
        <w:rPr>
          <w:rFonts w:cs="Arial"/>
          <w:szCs w:val="24"/>
        </w:rPr>
        <w:t>Prius Plug-in</w:t>
      </w:r>
      <w:r w:rsidR="003B64BF">
        <w:rPr>
          <w:rFonts w:cs="Arial"/>
          <w:szCs w:val="24"/>
        </w:rPr>
        <w:t>, and C-MAX Energi</w:t>
      </w:r>
      <w:r w:rsidR="002740E1" w:rsidRPr="00D14A7B">
        <w:rPr>
          <w:rFonts w:cs="Arial"/>
          <w:szCs w:val="24"/>
        </w:rPr>
        <w:t>.</w:t>
      </w:r>
      <w:r w:rsidR="002740E1" w:rsidRPr="00D14A7B">
        <w:rPr>
          <w:sz w:val="20"/>
        </w:rPr>
        <w:t xml:space="preserve"> </w:t>
      </w:r>
      <w:r w:rsidR="002740E1" w:rsidRPr="00D14A7B">
        <w:rPr>
          <w:rFonts w:cs="Arial"/>
          <w:szCs w:val="24"/>
        </w:rPr>
        <w:t xml:space="preserve">The only PEV available on the U.S. market in 2009 was the Tesla Roadster. During 2012, 13 </w:t>
      </w:r>
      <w:r w:rsidR="00310C26" w:rsidRPr="00D14A7B">
        <w:rPr>
          <w:rFonts w:cs="Arial"/>
          <w:szCs w:val="24"/>
        </w:rPr>
        <w:t xml:space="preserve">PEV </w:t>
      </w:r>
      <w:r w:rsidR="002740E1" w:rsidRPr="00D14A7B">
        <w:rPr>
          <w:rFonts w:cs="Arial"/>
          <w:szCs w:val="24"/>
        </w:rPr>
        <w:t>models were available in the United States</w:t>
      </w:r>
      <w:r w:rsidR="00DD42EF" w:rsidRPr="00D14A7B">
        <w:rPr>
          <w:rFonts w:cs="Arial"/>
          <w:szCs w:val="24"/>
        </w:rPr>
        <w:t>; in</w:t>
      </w:r>
      <w:r w:rsidR="002740E1" w:rsidRPr="00D14A7B">
        <w:rPr>
          <w:rFonts w:cs="Arial"/>
          <w:szCs w:val="24"/>
        </w:rPr>
        <w:t xml:space="preserve"> 2013, PEV offerings will increase to 28 models.</w:t>
      </w:r>
    </w:p>
    <w:p w:rsidR="002740E1" w:rsidRPr="00D14A7B" w:rsidRDefault="002740E1" w:rsidP="00027429">
      <w:pPr>
        <w:rPr>
          <w:rFonts w:cs="Arial"/>
          <w:szCs w:val="24"/>
        </w:rPr>
      </w:pPr>
      <w:r w:rsidRPr="00D14A7B">
        <w:rPr>
          <w:rFonts w:cs="Arial"/>
          <w:szCs w:val="24"/>
        </w:rPr>
        <w:t xml:space="preserve">Some automakers have introduced hydrogen-powered fuel cell electric vehicles as fleet demonstration models </w:t>
      </w:r>
      <w:r w:rsidR="00DD42EF" w:rsidRPr="00D14A7B">
        <w:rPr>
          <w:rFonts w:cs="Arial"/>
          <w:szCs w:val="24"/>
        </w:rPr>
        <w:t xml:space="preserve">(e.g., </w:t>
      </w:r>
      <w:r w:rsidRPr="00D14A7B">
        <w:rPr>
          <w:rFonts w:cs="Arial"/>
          <w:szCs w:val="24"/>
        </w:rPr>
        <w:t>the Honda Clarity FCX</w:t>
      </w:r>
      <w:r w:rsidR="00776C54" w:rsidRPr="00D14A7B">
        <w:rPr>
          <w:rFonts w:cs="Arial"/>
          <w:szCs w:val="24"/>
        </w:rPr>
        <w:t>)</w:t>
      </w:r>
      <w:r w:rsidRPr="00D14A7B">
        <w:rPr>
          <w:rFonts w:cs="Arial"/>
          <w:szCs w:val="24"/>
        </w:rPr>
        <w:t>. There have also been several automakers who have publically announced their intention to offer a hydrogen fuel cell vehicle for sale by 2015.</w:t>
      </w:r>
    </w:p>
    <w:p w:rsidR="002740E1" w:rsidRPr="00D14A7B" w:rsidRDefault="002740E1" w:rsidP="00027429">
      <w:pPr>
        <w:rPr>
          <w:rFonts w:cs="Arial"/>
          <w:szCs w:val="24"/>
        </w:rPr>
      </w:pPr>
      <w:r w:rsidRPr="00D14A7B">
        <w:rPr>
          <w:rFonts w:cs="Arial"/>
          <w:szCs w:val="24"/>
        </w:rPr>
        <w:t>Biofuels are already gaining popularity, with many fleets using biodiesel. In Brazil, flexible fuel (flex-fuel) vehicles capable of running on E85</w:t>
      </w:r>
      <w:r w:rsidR="00BB22D2" w:rsidRPr="00D14A7B">
        <w:rPr>
          <w:rFonts w:cs="Arial"/>
          <w:szCs w:val="24"/>
        </w:rPr>
        <w:t>, a blend of ethanol and gasoline,</w:t>
      </w:r>
      <w:r w:rsidR="00E274F9" w:rsidRPr="00D14A7B">
        <w:rPr>
          <w:rFonts w:cs="Arial"/>
          <w:szCs w:val="24"/>
        </w:rPr>
        <w:t xml:space="preserve"> constituted 87</w:t>
      </w:r>
      <w:r w:rsidRPr="00D14A7B">
        <w:rPr>
          <w:rFonts w:cs="Arial"/>
          <w:szCs w:val="24"/>
        </w:rPr>
        <w:t xml:space="preserve"> percent of new vehicle sales</w:t>
      </w:r>
      <w:r w:rsidR="00E274F9" w:rsidRPr="00D14A7B">
        <w:rPr>
          <w:rFonts w:cs="Arial"/>
          <w:szCs w:val="24"/>
        </w:rPr>
        <w:t xml:space="preserve"> in 2012</w:t>
      </w:r>
      <w:r w:rsidR="00DD42EF" w:rsidRPr="00D14A7B">
        <w:rPr>
          <w:rFonts w:cs="Arial"/>
          <w:szCs w:val="24"/>
        </w:rPr>
        <w:t>;</w:t>
      </w:r>
      <w:r w:rsidRPr="00D14A7B">
        <w:rPr>
          <w:rStyle w:val="FootnoteReference"/>
          <w:rFonts w:cs="Arial"/>
          <w:szCs w:val="24"/>
        </w:rPr>
        <w:footnoteReference w:id="4"/>
      </w:r>
      <w:r w:rsidRPr="00D14A7B">
        <w:rPr>
          <w:rFonts w:cs="Arial"/>
          <w:szCs w:val="24"/>
        </w:rPr>
        <w:t xml:space="preserve"> flex-fuel vehicles are popular in the United States as well, with nearly 1.5 million sold in 2010.</w:t>
      </w:r>
      <w:r w:rsidRPr="00D14A7B">
        <w:rPr>
          <w:rStyle w:val="FootnoteReference"/>
          <w:rFonts w:cs="Arial"/>
          <w:szCs w:val="24"/>
        </w:rPr>
        <w:footnoteReference w:id="5"/>
      </w:r>
    </w:p>
    <w:p w:rsidR="00A27E2B" w:rsidRPr="00D14A7B" w:rsidRDefault="00A9377B" w:rsidP="00027429">
      <w:pPr>
        <w:rPr>
          <w:rFonts w:cs="Arial"/>
          <w:szCs w:val="24"/>
        </w:rPr>
      </w:pPr>
      <w:r w:rsidRPr="00D14A7B">
        <w:rPr>
          <w:rFonts w:cs="Arial"/>
          <w:szCs w:val="24"/>
        </w:rPr>
        <w:t>In order to facilitate the shift toward AFVs, many chall</w:t>
      </w:r>
      <w:r w:rsidR="000A7CF5" w:rsidRPr="00D14A7B">
        <w:rPr>
          <w:rFonts w:cs="Arial"/>
          <w:szCs w:val="24"/>
        </w:rPr>
        <w:t xml:space="preserve">enges will have to be overcome. One of the greatest challenges to promoting AFV adoption is putting into place </w:t>
      </w:r>
      <w:r w:rsidR="00DD42EF" w:rsidRPr="00D14A7B">
        <w:rPr>
          <w:rFonts w:cs="Arial"/>
          <w:szCs w:val="24"/>
        </w:rPr>
        <w:t xml:space="preserve">a </w:t>
      </w:r>
      <w:r w:rsidR="000A7CF5" w:rsidRPr="00D14A7B">
        <w:rPr>
          <w:rFonts w:cs="Arial"/>
          <w:szCs w:val="24"/>
        </w:rPr>
        <w:t>new and upgraded infrastructure which is necessary to provide AFV owners with</w:t>
      </w:r>
      <w:r w:rsidRPr="00D14A7B">
        <w:rPr>
          <w:rFonts w:cs="Arial"/>
          <w:szCs w:val="24"/>
        </w:rPr>
        <w:t xml:space="preserve"> adequate acces</w:t>
      </w:r>
      <w:r w:rsidR="000A7CF5" w:rsidRPr="00D14A7B">
        <w:rPr>
          <w:rFonts w:cs="Arial"/>
          <w:szCs w:val="24"/>
        </w:rPr>
        <w:t xml:space="preserve">s to these unconventional fuels. </w:t>
      </w:r>
      <w:r w:rsidRPr="00D14A7B">
        <w:rPr>
          <w:rFonts w:cs="Arial"/>
          <w:szCs w:val="24"/>
        </w:rPr>
        <w:t>The cost of installing new refueling infrastructure is high</w:t>
      </w:r>
      <w:r w:rsidR="00776C54" w:rsidRPr="00D14A7B">
        <w:rPr>
          <w:rFonts w:cs="Arial"/>
          <w:szCs w:val="24"/>
        </w:rPr>
        <w:t>,</w:t>
      </w:r>
      <w:r w:rsidRPr="00D14A7B">
        <w:rPr>
          <w:rFonts w:cs="Arial"/>
          <w:szCs w:val="24"/>
        </w:rPr>
        <w:t xml:space="preserve"> and the adoption of AFVs uncertain, making private investment risky and relatively unattractive</w:t>
      </w:r>
      <w:r w:rsidR="00DD42EF" w:rsidRPr="00D14A7B">
        <w:rPr>
          <w:rFonts w:cs="Arial"/>
          <w:szCs w:val="24"/>
        </w:rPr>
        <w:t>.</w:t>
      </w:r>
      <w:r w:rsidRPr="00D14A7B">
        <w:rPr>
          <w:rFonts w:cs="Arial"/>
          <w:szCs w:val="24"/>
        </w:rPr>
        <w:t xml:space="preserve"> </w:t>
      </w:r>
      <w:r w:rsidR="00DD42EF" w:rsidRPr="00D14A7B">
        <w:rPr>
          <w:rFonts w:cs="Arial"/>
          <w:szCs w:val="24"/>
        </w:rPr>
        <w:t>D</w:t>
      </w:r>
      <w:r w:rsidRPr="00D14A7B">
        <w:rPr>
          <w:rFonts w:cs="Arial"/>
          <w:szCs w:val="24"/>
        </w:rPr>
        <w:t xml:space="preserve">ue to current political and economic realities, securing public funding for infrastructure investment could also be a challenge. </w:t>
      </w:r>
    </w:p>
    <w:p w:rsidR="009957C4" w:rsidRPr="00D14A7B" w:rsidRDefault="009957C4" w:rsidP="00027429">
      <w:pPr>
        <w:rPr>
          <w:rFonts w:cs="Arial"/>
          <w:szCs w:val="24"/>
        </w:rPr>
      </w:pPr>
      <w:r w:rsidRPr="00D14A7B">
        <w:rPr>
          <w:rFonts w:cs="Arial"/>
          <w:szCs w:val="24"/>
        </w:rPr>
        <w:t>Previous studies have concluded that a “substantial refueling network is a pre-condition for the market’s accepting alternative fuel vehicles.”</w:t>
      </w:r>
      <w:r w:rsidRPr="00D14A7B">
        <w:rPr>
          <w:rStyle w:val="FootnoteReference"/>
          <w:rFonts w:cs="Arial"/>
          <w:szCs w:val="24"/>
        </w:rPr>
        <w:t xml:space="preserve"> </w:t>
      </w:r>
      <w:r w:rsidRPr="00D14A7B">
        <w:rPr>
          <w:rStyle w:val="FootnoteReference"/>
          <w:rFonts w:cs="Arial"/>
          <w:szCs w:val="24"/>
        </w:rPr>
        <w:footnoteReference w:id="6"/>
      </w:r>
      <w:r w:rsidRPr="00D14A7B">
        <w:rPr>
          <w:sz w:val="20"/>
        </w:rPr>
        <w:t xml:space="preserve"> </w:t>
      </w:r>
      <w:r w:rsidR="00A9377B" w:rsidRPr="00D14A7B">
        <w:rPr>
          <w:rFonts w:cs="Arial"/>
          <w:szCs w:val="24"/>
        </w:rPr>
        <w:t xml:space="preserve">Without sufficient </w:t>
      </w:r>
      <w:r w:rsidR="000A7CF5" w:rsidRPr="00D14A7B">
        <w:rPr>
          <w:rFonts w:cs="Arial"/>
          <w:szCs w:val="24"/>
        </w:rPr>
        <w:t>re</w:t>
      </w:r>
      <w:r w:rsidR="00A9377B" w:rsidRPr="00D14A7B">
        <w:rPr>
          <w:rFonts w:cs="Arial"/>
          <w:szCs w:val="24"/>
        </w:rPr>
        <w:t>fueling infrastructure available, consumer ac</w:t>
      </w:r>
      <w:r w:rsidR="000A7CF5" w:rsidRPr="00D14A7B">
        <w:rPr>
          <w:rFonts w:cs="Arial"/>
          <w:szCs w:val="24"/>
        </w:rPr>
        <w:t xml:space="preserve">ceptance and confidence in AFV </w:t>
      </w:r>
      <w:r w:rsidR="00A9377B" w:rsidRPr="00D14A7B">
        <w:rPr>
          <w:rFonts w:cs="Arial"/>
          <w:szCs w:val="24"/>
        </w:rPr>
        <w:t>technology</w:t>
      </w:r>
      <w:r w:rsidR="000A7CF5" w:rsidRPr="00D14A7B">
        <w:rPr>
          <w:rFonts w:cs="Arial"/>
          <w:szCs w:val="24"/>
        </w:rPr>
        <w:t xml:space="preserve"> could suffer</w:t>
      </w:r>
      <w:r w:rsidR="00F9662C" w:rsidRPr="00D14A7B">
        <w:rPr>
          <w:rFonts w:cs="Arial"/>
          <w:szCs w:val="24"/>
        </w:rPr>
        <w:t>.</w:t>
      </w:r>
      <w:r w:rsidR="00A27E2B" w:rsidRPr="00D14A7B">
        <w:rPr>
          <w:rFonts w:cs="Arial"/>
          <w:szCs w:val="24"/>
        </w:rPr>
        <w:t xml:space="preserve"> For some fuels, such as electricity and compressed natural gas, however, home systems for charging and refueling could permit consumer adoption even without the construction of publicly available infrastructure. </w:t>
      </w:r>
    </w:p>
    <w:p w:rsidR="000A7CF5" w:rsidRPr="00D14A7B" w:rsidRDefault="000A7CF5" w:rsidP="00027429">
      <w:pPr>
        <w:rPr>
          <w:rFonts w:cs="Arial"/>
          <w:szCs w:val="24"/>
        </w:rPr>
      </w:pPr>
      <w:r w:rsidRPr="00D14A7B">
        <w:rPr>
          <w:rFonts w:cs="Arial"/>
          <w:szCs w:val="24"/>
        </w:rPr>
        <w:t>Once AFVs</w:t>
      </w:r>
      <w:r w:rsidR="00404DE2" w:rsidRPr="00D14A7B">
        <w:rPr>
          <w:rFonts w:cs="Arial"/>
          <w:szCs w:val="24"/>
        </w:rPr>
        <w:t xml:space="preserve"> have achieved commercial scale and </w:t>
      </w:r>
      <w:r w:rsidR="00776C54" w:rsidRPr="00D14A7B">
        <w:rPr>
          <w:rFonts w:cs="Arial"/>
          <w:szCs w:val="24"/>
        </w:rPr>
        <w:t>a high</w:t>
      </w:r>
      <w:r w:rsidR="00404DE2" w:rsidRPr="00D14A7B">
        <w:rPr>
          <w:rFonts w:cs="Arial"/>
          <w:szCs w:val="24"/>
        </w:rPr>
        <w:t xml:space="preserve"> utilization of their </w:t>
      </w:r>
      <w:r w:rsidRPr="00D14A7B">
        <w:rPr>
          <w:rFonts w:cs="Arial"/>
          <w:szCs w:val="24"/>
        </w:rPr>
        <w:t>re</w:t>
      </w:r>
      <w:r w:rsidR="00404DE2" w:rsidRPr="00D14A7B">
        <w:rPr>
          <w:rFonts w:cs="Arial"/>
          <w:szCs w:val="24"/>
        </w:rPr>
        <w:t>fueling infrastructure</w:t>
      </w:r>
      <w:r w:rsidR="00776C54" w:rsidRPr="00D14A7B">
        <w:rPr>
          <w:rFonts w:cs="Arial"/>
          <w:szCs w:val="24"/>
        </w:rPr>
        <w:t xml:space="preserve">, the </w:t>
      </w:r>
      <w:r w:rsidR="00404DE2" w:rsidRPr="00D14A7B">
        <w:rPr>
          <w:rFonts w:cs="Arial"/>
          <w:szCs w:val="24"/>
        </w:rPr>
        <w:t>infrastructure costs will be minor on a per vehicle basis.</w:t>
      </w:r>
      <w:r w:rsidR="00D941C0" w:rsidRPr="00D14A7B">
        <w:rPr>
          <w:rStyle w:val="FootnoteReference"/>
          <w:rFonts w:cs="Arial"/>
          <w:szCs w:val="24"/>
        </w:rPr>
        <w:footnoteReference w:id="7"/>
      </w:r>
      <w:r w:rsidR="00404DE2" w:rsidRPr="00D14A7B">
        <w:rPr>
          <w:rFonts w:cs="Arial"/>
          <w:szCs w:val="24"/>
        </w:rPr>
        <w:t xml:space="preserve"> The transition to commercial scale, however, </w:t>
      </w:r>
      <w:r w:rsidR="00D941C0" w:rsidRPr="00D14A7B">
        <w:rPr>
          <w:rFonts w:cs="Arial"/>
          <w:szCs w:val="24"/>
        </w:rPr>
        <w:t>i</w:t>
      </w:r>
      <w:r w:rsidR="00404DE2" w:rsidRPr="00D14A7B">
        <w:rPr>
          <w:rFonts w:cs="Arial"/>
          <w:szCs w:val="24"/>
        </w:rPr>
        <w:t>s a significant challenge as it represents a high risk for investors</w:t>
      </w:r>
      <w:r w:rsidR="00DD42EF" w:rsidRPr="00D14A7B">
        <w:rPr>
          <w:rFonts w:cs="Arial"/>
          <w:szCs w:val="24"/>
        </w:rPr>
        <w:t>:</w:t>
      </w:r>
      <w:r w:rsidR="00404DE2" w:rsidRPr="00D14A7B">
        <w:rPr>
          <w:rFonts w:cs="Arial"/>
          <w:szCs w:val="24"/>
        </w:rPr>
        <w:t xml:space="preserve"> the utilization of refueling infrastructure could remain low for a prolonged period or the fuel could fail to gain popularity altogether. </w:t>
      </w:r>
    </w:p>
    <w:p w:rsidR="00404DE2" w:rsidRPr="00D14A7B" w:rsidRDefault="00404DE2" w:rsidP="00027429">
      <w:pPr>
        <w:rPr>
          <w:rFonts w:cs="Arial"/>
          <w:szCs w:val="24"/>
        </w:rPr>
      </w:pPr>
      <w:r w:rsidRPr="00D14A7B">
        <w:rPr>
          <w:rFonts w:cs="Arial"/>
          <w:szCs w:val="24"/>
        </w:rPr>
        <w:lastRenderedPageBreak/>
        <w:t>The concurrent development of alternative fuel vehicles and alternative fuel vehicle infrastructure is also a frequently cited c</w:t>
      </w:r>
      <w:r w:rsidR="00BB08B1" w:rsidRPr="00D14A7B">
        <w:rPr>
          <w:rFonts w:cs="Arial"/>
          <w:szCs w:val="24"/>
        </w:rPr>
        <w:t>hallenge as it poses a “chicken-and-</w:t>
      </w:r>
      <w:r w:rsidRPr="00D14A7B">
        <w:rPr>
          <w:rFonts w:cs="Arial"/>
          <w:szCs w:val="24"/>
        </w:rPr>
        <w:t>egg” problem</w:t>
      </w:r>
      <w:r w:rsidR="000A7CF5" w:rsidRPr="00D14A7B">
        <w:rPr>
          <w:rFonts w:cs="Arial"/>
          <w:szCs w:val="24"/>
        </w:rPr>
        <w:t>. A</w:t>
      </w:r>
      <w:r w:rsidRPr="00D14A7B">
        <w:rPr>
          <w:rFonts w:cs="Arial"/>
          <w:szCs w:val="24"/>
        </w:rPr>
        <w:t xml:space="preserve">utomakers will not be able to sell AFVs if there is not adequate </w:t>
      </w:r>
      <w:r w:rsidR="000A7CF5" w:rsidRPr="00D14A7B">
        <w:rPr>
          <w:rFonts w:cs="Arial"/>
          <w:szCs w:val="24"/>
        </w:rPr>
        <w:t>re</w:t>
      </w:r>
      <w:r w:rsidRPr="00D14A7B">
        <w:rPr>
          <w:rFonts w:cs="Arial"/>
          <w:szCs w:val="24"/>
        </w:rPr>
        <w:t>fueling infrastructure for vehicle owners</w:t>
      </w:r>
      <w:r w:rsidR="00DD42EF" w:rsidRPr="00D14A7B">
        <w:rPr>
          <w:rFonts w:cs="Arial"/>
          <w:szCs w:val="24"/>
        </w:rPr>
        <w:t>;</w:t>
      </w:r>
      <w:r w:rsidR="00BF1E97" w:rsidRPr="00D14A7B">
        <w:rPr>
          <w:rFonts w:cs="Arial"/>
          <w:szCs w:val="24"/>
        </w:rPr>
        <w:t xml:space="preserve"> conversely,</w:t>
      </w:r>
      <w:r w:rsidRPr="00D14A7B">
        <w:rPr>
          <w:rFonts w:cs="Arial"/>
          <w:szCs w:val="24"/>
        </w:rPr>
        <w:t xml:space="preserve"> fuel providers will not be able to </w:t>
      </w:r>
      <w:r w:rsidR="00D941C0" w:rsidRPr="00D14A7B">
        <w:rPr>
          <w:rFonts w:cs="Arial"/>
          <w:szCs w:val="24"/>
        </w:rPr>
        <w:t>recover their investment</w:t>
      </w:r>
      <w:r w:rsidR="00BF1E97" w:rsidRPr="00D14A7B">
        <w:rPr>
          <w:rFonts w:cs="Arial"/>
          <w:szCs w:val="24"/>
        </w:rPr>
        <w:t>s</w:t>
      </w:r>
      <w:r w:rsidR="00D941C0" w:rsidRPr="00D14A7B">
        <w:rPr>
          <w:rFonts w:cs="Arial"/>
          <w:szCs w:val="24"/>
        </w:rPr>
        <w:t xml:space="preserve"> if there are not enough AFVs on the road that need fuel.</w:t>
      </w:r>
    </w:p>
    <w:p w:rsidR="00F55718" w:rsidRPr="00D14A7B" w:rsidRDefault="00F55718" w:rsidP="00027429">
      <w:pPr>
        <w:rPr>
          <w:rFonts w:cs="Arial"/>
          <w:szCs w:val="24"/>
        </w:rPr>
      </w:pPr>
      <w:r w:rsidRPr="00D14A7B">
        <w:rPr>
          <w:rFonts w:cs="Arial"/>
          <w:szCs w:val="24"/>
        </w:rPr>
        <w:t xml:space="preserve">This paper describes several different types of alternative fuels and summarizes the existing infrastructure investments to support AFVs in several countries and one U.S. state (Brazil, China, the European Union, the United States, and California). This research </w:t>
      </w:r>
      <w:r w:rsidR="00BF1E97" w:rsidRPr="00D14A7B">
        <w:rPr>
          <w:rFonts w:cs="Arial"/>
          <w:szCs w:val="24"/>
        </w:rPr>
        <w:t>offer</w:t>
      </w:r>
      <w:r w:rsidRPr="00D14A7B">
        <w:rPr>
          <w:rFonts w:cs="Arial"/>
          <w:szCs w:val="24"/>
        </w:rPr>
        <w:t xml:space="preserve">s a long run projection of what likely future investment requirements would be in order to support future AFV volumes. </w:t>
      </w:r>
      <w:r w:rsidR="00BF1E97" w:rsidRPr="00D14A7B">
        <w:rPr>
          <w:rFonts w:cs="Arial"/>
          <w:szCs w:val="24"/>
        </w:rPr>
        <w:t>The authors have also included a</w:t>
      </w:r>
      <w:r w:rsidRPr="00D14A7B">
        <w:rPr>
          <w:rFonts w:cs="Arial"/>
          <w:szCs w:val="24"/>
        </w:rPr>
        <w:t xml:space="preserve">n assessment of the gap between what infrastructure investment is needed for successful growth of AFV sales and what has been built out so far, with particular attention to selected countries. </w:t>
      </w:r>
    </w:p>
    <w:p w:rsidR="00404DE2" w:rsidRPr="003B64BF" w:rsidRDefault="00BF1E97">
      <w:pPr>
        <w:rPr>
          <w:rFonts w:cs="Arial"/>
          <w:szCs w:val="24"/>
        </w:rPr>
      </w:pPr>
      <w:r w:rsidRPr="00D14A7B">
        <w:rPr>
          <w:rFonts w:cs="Arial"/>
          <w:szCs w:val="24"/>
        </w:rPr>
        <w:t>S</w:t>
      </w:r>
      <w:r w:rsidR="00F55718" w:rsidRPr="00D14A7B">
        <w:rPr>
          <w:rFonts w:cs="Arial"/>
          <w:szCs w:val="24"/>
        </w:rPr>
        <w:t xml:space="preserve">everal examples of public financing programs and public-private partnerships to encourage sales of AFVs, construction of refueling infrastructure, and adoption of other environmental technologies are detailed. This </w:t>
      </w:r>
      <w:r w:rsidR="00776C54" w:rsidRPr="00D14A7B">
        <w:rPr>
          <w:rFonts w:cs="Arial"/>
          <w:szCs w:val="24"/>
        </w:rPr>
        <w:t>discussion will also cover</w:t>
      </w:r>
      <w:r w:rsidR="00F55718" w:rsidRPr="00D14A7B">
        <w:rPr>
          <w:rFonts w:cs="Arial"/>
          <w:szCs w:val="24"/>
        </w:rPr>
        <w:t xml:space="preserve"> the costs and benefits of various funding models </w:t>
      </w:r>
      <w:r w:rsidRPr="00D14A7B">
        <w:rPr>
          <w:rFonts w:cs="Arial"/>
          <w:szCs w:val="24"/>
        </w:rPr>
        <w:t xml:space="preserve">(e.g., </w:t>
      </w:r>
      <w:r w:rsidR="00F55718" w:rsidRPr="00D14A7B">
        <w:rPr>
          <w:rFonts w:cs="Arial"/>
          <w:szCs w:val="24"/>
        </w:rPr>
        <w:t>tax incentives, government loan programs, convertible bonds, and joint ventures</w:t>
      </w:r>
      <w:r w:rsidRPr="00D14A7B">
        <w:rPr>
          <w:rFonts w:cs="Arial"/>
          <w:szCs w:val="24"/>
        </w:rPr>
        <w:t>)</w:t>
      </w:r>
      <w:r w:rsidR="00F55718" w:rsidRPr="00D14A7B">
        <w:rPr>
          <w:rFonts w:cs="Arial"/>
          <w:szCs w:val="24"/>
        </w:rPr>
        <w:t xml:space="preserve"> which have been or could be put in place to support AFV infr</w:t>
      </w:r>
      <w:r w:rsidR="003B64BF">
        <w:rPr>
          <w:rFonts w:cs="Arial"/>
          <w:szCs w:val="24"/>
        </w:rPr>
        <w:t>astructure investment spending.</w:t>
      </w:r>
      <w:r w:rsidR="00404DE2" w:rsidRPr="008720F3">
        <w:rPr>
          <w:rFonts w:cs="Arial"/>
          <w:b/>
          <w:sz w:val="24"/>
          <w:szCs w:val="24"/>
        </w:rPr>
        <w:br w:type="page"/>
      </w:r>
    </w:p>
    <w:p w:rsidR="009F6661" w:rsidRDefault="009F6661">
      <w:pPr>
        <w:rPr>
          <w:rFonts w:eastAsia="Times New Roman" w:cstheme="minorHAnsi"/>
          <w:b/>
          <w:bCs/>
          <w:caps/>
          <w:color w:val="365F91" w:themeColor="accent1" w:themeShade="BF"/>
          <w:kern w:val="32"/>
          <w:sz w:val="32"/>
          <w:szCs w:val="24"/>
          <w:lang w:val="x-none" w:eastAsia="x-none"/>
        </w:rPr>
      </w:pPr>
      <w:r>
        <w:lastRenderedPageBreak/>
        <w:br w:type="page"/>
      </w:r>
    </w:p>
    <w:p w:rsidR="001E21E6" w:rsidRPr="008720F3" w:rsidRDefault="00FA0199" w:rsidP="00D14A7B">
      <w:pPr>
        <w:pStyle w:val="Heading1"/>
      </w:pPr>
      <w:bookmarkStart w:id="6" w:name="_Toc352854164"/>
      <w:r w:rsidRPr="008720F3">
        <w:lastRenderedPageBreak/>
        <w:t xml:space="preserve">ALTERNATIVE </w:t>
      </w:r>
      <w:r w:rsidR="004847F1" w:rsidRPr="008720F3">
        <w:t>FUELS</w:t>
      </w:r>
      <w:bookmarkEnd w:id="6"/>
    </w:p>
    <w:p w:rsidR="00FA0199" w:rsidRPr="00D14A7B" w:rsidRDefault="00FA0199" w:rsidP="00145BD8">
      <w:pPr>
        <w:rPr>
          <w:rFonts w:cs="Arial"/>
          <w:szCs w:val="24"/>
        </w:rPr>
      </w:pPr>
      <w:r w:rsidRPr="00D14A7B">
        <w:rPr>
          <w:rFonts w:cs="Arial"/>
          <w:szCs w:val="24"/>
        </w:rPr>
        <w:t xml:space="preserve">Gasoline has been the dominant fuel for road transportation for the past century, but there have always been alternative fuels. </w:t>
      </w:r>
      <w:r w:rsidR="00BF1E97" w:rsidRPr="00D14A7B">
        <w:rPr>
          <w:rFonts w:cs="Arial"/>
          <w:szCs w:val="24"/>
        </w:rPr>
        <w:t>E</w:t>
      </w:r>
      <w:r w:rsidRPr="00D14A7B">
        <w:rPr>
          <w:rFonts w:cs="Arial"/>
          <w:szCs w:val="24"/>
        </w:rPr>
        <w:t xml:space="preserve">arly alternatives to the gasoline-powered, internal combustion engine included steam engines, electric motors, and diesel engines. While electric and steam-powered vehicles almost completely disappeared </w:t>
      </w:r>
      <w:r w:rsidR="00216C49" w:rsidRPr="00D14A7B">
        <w:rPr>
          <w:rFonts w:cs="Arial"/>
          <w:szCs w:val="24"/>
        </w:rPr>
        <w:t xml:space="preserve">from </w:t>
      </w:r>
      <w:r w:rsidR="00BF1E97" w:rsidRPr="00D14A7B">
        <w:rPr>
          <w:rFonts w:cs="Arial"/>
          <w:szCs w:val="24"/>
        </w:rPr>
        <w:t xml:space="preserve">the </w:t>
      </w:r>
      <w:r w:rsidR="00216C49" w:rsidRPr="00D14A7B">
        <w:rPr>
          <w:rFonts w:cs="Arial"/>
          <w:szCs w:val="24"/>
        </w:rPr>
        <w:t>roads</w:t>
      </w:r>
      <w:r w:rsidRPr="00D14A7B">
        <w:rPr>
          <w:rFonts w:cs="Arial"/>
          <w:szCs w:val="24"/>
        </w:rPr>
        <w:t>,</w:t>
      </w:r>
      <w:r w:rsidR="00216C49" w:rsidRPr="00D14A7B">
        <w:rPr>
          <w:rFonts w:cs="Arial"/>
          <w:szCs w:val="24"/>
        </w:rPr>
        <w:t xml:space="preserve"> diesel engines eventually became the popular choice for heavy-duty vehicles and, in some regions, even became common in passenger vehicles.</w:t>
      </w:r>
      <w:r w:rsidR="00435A15" w:rsidRPr="00D14A7B">
        <w:rPr>
          <w:rFonts w:cs="Arial"/>
          <w:szCs w:val="24"/>
        </w:rPr>
        <w:t xml:space="preserve"> </w:t>
      </w:r>
    </w:p>
    <w:p w:rsidR="009349B3" w:rsidRPr="00D14A7B" w:rsidRDefault="00216C49" w:rsidP="00145BD8">
      <w:pPr>
        <w:rPr>
          <w:rFonts w:cs="Arial"/>
          <w:szCs w:val="24"/>
        </w:rPr>
      </w:pPr>
      <w:r w:rsidRPr="00D14A7B">
        <w:rPr>
          <w:rFonts w:cs="Arial"/>
          <w:szCs w:val="24"/>
        </w:rPr>
        <w:t xml:space="preserve">Interest in alternative fuel vehicles has risen and fallen several times in the history of the automobile. Gasoline was clearly established as the fuel of choice by 1920, but interest in alternative fuels </w:t>
      </w:r>
      <w:r w:rsidR="00376934" w:rsidRPr="00D14A7B">
        <w:rPr>
          <w:rFonts w:cs="Arial"/>
          <w:szCs w:val="24"/>
        </w:rPr>
        <w:t xml:space="preserve">increased in the 1970s and early 1980s </w:t>
      </w:r>
      <w:r w:rsidR="00A60C0A" w:rsidRPr="00D14A7B">
        <w:rPr>
          <w:rFonts w:cs="Arial"/>
          <w:szCs w:val="24"/>
        </w:rPr>
        <w:t>in</w:t>
      </w:r>
      <w:r w:rsidR="00376934" w:rsidRPr="00D14A7B">
        <w:rPr>
          <w:rFonts w:cs="Arial"/>
          <w:szCs w:val="24"/>
        </w:rPr>
        <w:t xml:space="preserve"> reaction to oil shortages in the </w:t>
      </w:r>
      <w:r w:rsidR="00C11E8A" w:rsidRPr="00D14A7B">
        <w:rPr>
          <w:rFonts w:cs="Arial"/>
          <w:szCs w:val="24"/>
        </w:rPr>
        <w:t>‘</w:t>
      </w:r>
      <w:r w:rsidR="00376934" w:rsidRPr="00D14A7B">
        <w:rPr>
          <w:rFonts w:cs="Arial"/>
          <w:szCs w:val="24"/>
        </w:rPr>
        <w:t xml:space="preserve">70s. During this time, the United States </w:t>
      </w:r>
      <w:r w:rsidR="00A60C0A" w:rsidRPr="00D14A7B">
        <w:rPr>
          <w:rFonts w:cs="Arial"/>
          <w:szCs w:val="24"/>
        </w:rPr>
        <w:t>adopted</w:t>
      </w:r>
      <w:r w:rsidR="00376934" w:rsidRPr="00D14A7B">
        <w:rPr>
          <w:rFonts w:cs="Arial"/>
          <w:szCs w:val="24"/>
        </w:rPr>
        <w:t xml:space="preserve"> </w:t>
      </w:r>
      <w:r w:rsidR="00E86BAE" w:rsidRPr="00D14A7B">
        <w:rPr>
          <w:rFonts w:cs="Arial"/>
          <w:szCs w:val="24"/>
        </w:rPr>
        <w:t>CAFE</w:t>
      </w:r>
      <w:r w:rsidR="00376934" w:rsidRPr="00D14A7B">
        <w:rPr>
          <w:rFonts w:cs="Arial"/>
          <w:szCs w:val="24"/>
        </w:rPr>
        <w:t xml:space="preserve"> standards to increase fuel efficiency in vehicles and Brazil enacted its Programa Nacional do </w:t>
      </w:r>
      <w:r w:rsidR="00376934" w:rsidRPr="00D14A7B">
        <w:rPr>
          <w:rFonts w:cs="Arial"/>
          <w:bCs/>
          <w:szCs w:val="24"/>
        </w:rPr>
        <w:t>Á</w:t>
      </w:r>
      <w:r w:rsidR="00376934" w:rsidRPr="00D14A7B">
        <w:rPr>
          <w:rFonts w:cs="Arial"/>
          <w:szCs w:val="24"/>
        </w:rPr>
        <w:t>lcool, spurr</w:t>
      </w:r>
      <w:r w:rsidR="00A60C0A" w:rsidRPr="00D14A7B">
        <w:rPr>
          <w:rFonts w:cs="Arial"/>
          <w:szCs w:val="24"/>
        </w:rPr>
        <w:t>ing</w:t>
      </w:r>
      <w:r w:rsidR="00376934" w:rsidRPr="00D14A7B">
        <w:rPr>
          <w:rFonts w:cs="Arial"/>
          <w:szCs w:val="24"/>
        </w:rPr>
        <w:t xml:space="preserve"> production of ethanol for vehicle fuel. </w:t>
      </w:r>
    </w:p>
    <w:p w:rsidR="00FA0199" w:rsidRPr="00D14A7B" w:rsidRDefault="00376934" w:rsidP="00145BD8">
      <w:pPr>
        <w:rPr>
          <w:rFonts w:cs="Arial"/>
          <w:szCs w:val="24"/>
        </w:rPr>
      </w:pPr>
      <w:r w:rsidRPr="00D14A7B">
        <w:rPr>
          <w:rFonts w:cs="Arial"/>
          <w:szCs w:val="24"/>
        </w:rPr>
        <w:t xml:space="preserve">Interest in </w:t>
      </w:r>
      <w:r w:rsidR="009349B3" w:rsidRPr="00D14A7B">
        <w:rPr>
          <w:rFonts w:cs="Arial"/>
          <w:szCs w:val="24"/>
        </w:rPr>
        <w:t>alternative fuels</w:t>
      </w:r>
      <w:r w:rsidRPr="00D14A7B">
        <w:rPr>
          <w:rFonts w:cs="Arial"/>
          <w:szCs w:val="24"/>
        </w:rPr>
        <w:t xml:space="preserve"> waned</w:t>
      </w:r>
      <w:r w:rsidR="009349B3" w:rsidRPr="00D14A7B">
        <w:rPr>
          <w:rFonts w:cs="Arial"/>
          <w:szCs w:val="24"/>
        </w:rPr>
        <w:t>, however,</w:t>
      </w:r>
      <w:r w:rsidRPr="00D14A7B">
        <w:rPr>
          <w:rFonts w:cs="Arial"/>
          <w:szCs w:val="24"/>
        </w:rPr>
        <w:t xml:space="preserve"> </w:t>
      </w:r>
      <w:r w:rsidR="009349B3" w:rsidRPr="00D14A7B">
        <w:rPr>
          <w:rFonts w:cs="Arial"/>
          <w:szCs w:val="24"/>
        </w:rPr>
        <w:t xml:space="preserve">as oil prices declined and </w:t>
      </w:r>
      <w:r w:rsidR="00A60C0A" w:rsidRPr="00D14A7B">
        <w:rPr>
          <w:rFonts w:cs="Arial"/>
          <w:szCs w:val="24"/>
        </w:rPr>
        <w:t xml:space="preserve">the </w:t>
      </w:r>
      <w:r w:rsidR="009349B3" w:rsidRPr="00D14A7B">
        <w:rPr>
          <w:rFonts w:cs="Arial"/>
          <w:szCs w:val="24"/>
        </w:rPr>
        <w:t>limitations of these fuels became apparent. H</w:t>
      </w:r>
      <w:r w:rsidRPr="00D14A7B">
        <w:rPr>
          <w:rFonts w:cs="Arial"/>
          <w:szCs w:val="24"/>
        </w:rPr>
        <w:t>igh</w:t>
      </w:r>
      <w:r w:rsidR="009349B3" w:rsidRPr="00D14A7B">
        <w:rPr>
          <w:rFonts w:cs="Arial"/>
          <w:szCs w:val="24"/>
        </w:rPr>
        <w:t>er</w:t>
      </w:r>
      <w:r w:rsidRPr="00D14A7B">
        <w:rPr>
          <w:rFonts w:cs="Arial"/>
          <w:szCs w:val="24"/>
        </w:rPr>
        <w:t xml:space="preserve"> petroleum prices</w:t>
      </w:r>
      <w:r w:rsidR="009349B3" w:rsidRPr="00D14A7B">
        <w:rPr>
          <w:rFonts w:cs="Arial"/>
          <w:szCs w:val="24"/>
        </w:rPr>
        <w:t>, desire to reduce national dependence on foreign energy,</w:t>
      </w:r>
      <w:r w:rsidRPr="00D14A7B">
        <w:rPr>
          <w:rFonts w:cs="Arial"/>
          <w:szCs w:val="24"/>
        </w:rPr>
        <w:t xml:space="preserve"> </w:t>
      </w:r>
      <w:r w:rsidR="009349B3" w:rsidRPr="00D14A7B">
        <w:rPr>
          <w:rFonts w:cs="Arial"/>
          <w:szCs w:val="24"/>
        </w:rPr>
        <w:t xml:space="preserve">and </w:t>
      </w:r>
      <w:r w:rsidR="00310C26" w:rsidRPr="00D14A7B">
        <w:rPr>
          <w:rFonts w:cs="Arial"/>
          <w:szCs w:val="24"/>
        </w:rPr>
        <w:t>efforts to reduce GHG</w:t>
      </w:r>
      <w:r w:rsidR="009349B3" w:rsidRPr="00D14A7B">
        <w:rPr>
          <w:rFonts w:cs="Arial"/>
          <w:szCs w:val="24"/>
        </w:rPr>
        <w:t xml:space="preserve"> emissions </w:t>
      </w:r>
      <w:r w:rsidRPr="00D14A7B">
        <w:rPr>
          <w:rFonts w:cs="Arial"/>
          <w:szCs w:val="24"/>
        </w:rPr>
        <w:t xml:space="preserve">in the </w:t>
      </w:r>
      <w:r w:rsidR="009349B3" w:rsidRPr="00D14A7B">
        <w:rPr>
          <w:rFonts w:cs="Arial"/>
          <w:szCs w:val="24"/>
        </w:rPr>
        <w:t>2000s renewed interest in alternative fuels, causing many countries to promote alternative fuels.</w:t>
      </w:r>
    </w:p>
    <w:p w:rsidR="00145BD8" w:rsidRPr="00D14A7B" w:rsidRDefault="00D65459" w:rsidP="00145BD8">
      <w:pPr>
        <w:rPr>
          <w:rFonts w:cs="Arial"/>
          <w:szCs w:val="24"/>
        </w:rPr>
      </w:pPr>
      <w:r w:rsidRPr="00D14A7B">
        <w:rPr>
          <w:rFonts w:cs="Arial"/>
          <w:szCs w:val="24"/>
        </w:rPr>
        <w:t xml:space="preserve">The definition of alternative fuels is somewhat flexible and can be used to refer to </w:t>
      </w:r>
      <w:r w:rsidR="00184947" w:rsidRPr="00D14A7B">
        <w:rPr>
          <w:rFonts w:cs="Arial"/>
          <w:szCs w:val="24"/>
        </w:rPr>
        <w:t xml:space="preserve">various subsets of fuels. One frequently cited definition is the United States </w:t>
      </w:r>
      <w:r w:rsidR="00145BD8" w:rsidRPr="00D14A7B">
        <w:rPr>
          <w:rFonts w:cs="Arial"/>
          <w:szCs w:val="24"/>
        </w:rPr>
        <w:t>Energy Policy Act of 1992,</w:t>
      </w:r>
      <w:r w:rsidR="00326E59" w:rsidRPr="00D14A7B">
        <w:rPr>
          <w:rStyle w:val="FootnoteReference"/>
          <w:rFonts w:cs="Arial"/>
          <w:szCs w:val="24"/>
        </w:rPr>
        <w:footnoteReference w:id="8"/>
      </w:r>
      <w:r w:rsidR="00184947" w:rsidRPr="00D14A7B">
        <w:rPr>
          <w:rFonts w:cs="Arial"/>
          <w:szCs w:val="24"/>
        </w:rPr>
        <w:t xml:space="preserve"> which classified the following as alternative fuels</w:t>
      </w:r>
      <w:r w:rsidR="00145BD8" w:rsidRPr="00D14A7B">
        <w:rPr>
          <w:rFonts w:cs="Arial"/>
          <w:szCs w:val="24"/>
        </w:rPr>
        <w:t>:</w:t>
      </w:r>
    </w:p>
    <w:p w:rsidR="00145BD8" w:rsidRPr="00D14A7B" w:rsidRDefault="00145BD8" w:rsidP="00145BD8">
      <w:pPr>
        <w:pStyle w:val="ListParagraph"/>
        <w:numPr>
          <w:ilvl w:val="0"/>
          <w:numId w:val="2"/>
        </w:numPr>
        <w:rPr>
          <w:rFonts w:cs="Arial"/>
          <w:szCs w:val="24"/>
        </w:rPr>
      </w:pPr>
      <w:r w:rsidRPr="00D14A7B">
        <w:rPr>
          <w:rFonts w:cs="Arial"/>
          <w:szCs w:val="24"/>
        </w:rPr>
        <w:t xml:space="preserve">Methanol, ethanol, and other alcohols </w:t>
      </w:r>
    </w:p>
    <w:p w:rsidR="00145BD8" w:rsidRPr="00D14A7B" w:rsidRDefault="00DC1C3C" w:rsidP="00145BD8">
      <w:pPr>
        <w:pStyle w:val="ListParagraph"/>
        <w:numPr>
          <w:ilvl w:val="0"/>
          <w:numId w:val="2"/>
        </w:numPr>
        <w:rPr>
          <w:rFonts w:cs="Arial"/>
          <w:szCs w:val="24"/>
        </w:rPr>
      </w:pPr>
      <w:r w:rsidRPr="00D14A7B">
        <w:rPr>
          <w:rFonts w:cs="Arial"/>
          <w:szCs w:val="24"/>
        </w:rPr>
        <w:t>Blended gasoline with at least 85</w:t>
      </w:r>
      <w:r w:rsidR="00784957" w:rsidRPr="00D14A7B">
        <w:rPr>
          <w:rFonts w:cs="Arial"/>
          <w:szCs w:val="24"/>
        </w:rPr>
        <w:t xml:space="preserve"> percent</w:t>
      </w:r>
      <w:r w:rsidRPr="00D14A7B">
        <w:rPr>
          <w:rFonts w:cs="Arial"/>
          <w:szCs w:val="24"/>
        </w:rPr>
        <w:t xml:space="preserve"> alcohol</w:t>
      </w:r>
    </w:p>
    <w:p w:rsidR="00DC1C3C" w:rsidRPr="00D14A7B" w:rsidRDefault="00145BD8" w:rsidP="00145BD8">
      <w:pPr>
        <w:pStyle w:val="ListParagraph"/>
        <w:numPr>
          <w:ilvl w:val="0"/>
          <w:numId w:val="2"/>
        </w:numPr>
        <w:rPr>
          <w:rFonts w:cs="Arial"/>
          <w:szCs w:val="24"/>
        </w:rPr>
      </w:pPr>
      <w:r w:rsidRPr="00D14A7B">
        <w:rPr>
          <w:rFonts w:cs="Arial"/>
          <w:szCs w:val="24"/>
        </w:rPr>
        <w:t xml:space="preserve">Natural gas and </w:t>
      </w:r>
      <w:r w:rsidR="00DC1C3C" w:rsidRPr="00D14A7B">
        <w:rPr>
          <w:rFonts w:cs="Arial"/>
          <w:szCs w:val="24"/>
        </w:rPr>
        <w:t>natural gas-derived liquid fuels</w:t>
      </w:r>
    </w:p>
    <w:p w:rsidR="00145BD8" w:rsidRPr="00D14A7B" w:rsidRDefault="00145BD8" w:rsidP="00145BD8">
      <w:pPr>
        <w:pStyle w:val="ListParagraph"/>
        <w:numPr>
          <w:ilvl w:val="0"/>
          <w:numId w:val="2"/>
        </w:numPr>
        <w:rPr>
          <w:rFonts w:cs="Arial"/>
          <w:szCs w:val="24"/>
        </w:rPr>
      </w:pPr>
      <w:r w:rsidRPr="00D14A7B">
        <w:rPr>
          <w:rFonts w:cs="Arial"/>
          <w:szCs w:val="24"/>
        </w:rPr>
        <w:t xml:space="preserve">Liquefied petroleum gas (propane) </w:t>
      </w:r>
    </w:p>
    <w:p w:rsidR="00145BD8" w:rsidRPr="00D14A7B" w:rsidRDefault="00145BD8" w:rsidP="00145BD8">
      <w:pPr>
        <w:pStyle w:val="ListParagraph"/>
        <w:numPr>
          <w:ilvl w:val="0"/>
          <w:numId w:val="2"/>
        </w:numPr>
        <w:rPr>
          <w:rFonts w:cs="Arial"/>
          <w:szCs w:val="24"/>
        </w:rPr>
      </w:pPr>
      <w:r w:rsidRPr="00D14A7B">
        <w:rPr>
          <w:rFonts w:cs="Arial"/>
          <w:szCs w:val="24"/>
        </w:rPr>
        <w:t xml:space="preserve">Coal-derived liquid fuels </w:t>
      </w:r>
    </w:p>
    <w:p w:rsidR="00145BD8" w:rsidRPr="00D14A7B" w:rsidRDefault="00145BD8" w:rsidP="00145BD8">
      <w:pPr>
        <w:pStyle w:val="ListParagraph"/>
        <w:numPr>
          <w:ilvl w:val="0"/>
          <w:numId w:val="2"/>
        </w:numPr>
        <w:rPr>
          <w:rFonts w:cs="Arial"/>
          <w:szCs w:val="24"/>
        </w:rPr>
      </w:pPr>
      <w:r w:rsidRPr="00D14A7B">
        <w:rPr>
          <w:rFonts w:cs="Arial"/>
          <w:szCs w:val="24"/>
        </w:rPr>
        <w:t xml:space="preserve">Hydrogen </w:t>
      </w:r>
    </w:p>
    <w:p w:rsidR="00145BD8" w:rsidRPr="00D14A7B" w:rsidRDefault="00145BD8" w:rsidP="00145BD8">
      <w:pPr>
        <w:pStyle w:val="ListParagraph"/>
        <w:numPr>
          <w:ilvl w:val="0"/>
          <w:numId w:val="2"/>
        </w:numPr>
        <w:rPr>
          <w:rFonts w:cs="Arial"/>
          <w:szCs w:val="24"/>
        </w:rPr>
      </w:pPr>
      <w:r w:rsidRPr="00D14A7B">
        <w:rPr>
          <w:rFonts w:cs="Arial"/>
          <w:szCs w:val="24"/>
        </w:rPr>
        <w:t xml:space="preserve">Electricity </w:t>
      </w:r>
    </w:p>
    <w:p w:rsidR="00145BD8" w:rsidRPr="00D14A7B" w:rsidRDefault="00DC1C3C" w:rsidP="00145BD8">
      <w:pPr>
        <w:pStyle w:val="ListParagraph"/>
        <w:numPr>
          <w:ilvl w:val="0"/>
          <w:numId w:val="2"/>
        </w:numPr>
        <w:rPr>
          <w:rFonts w:cs="Arial"/>
          <w:szCs w:val="24"/>
        </w:rPr>
      </w:pPr>
      <w:r w:rsidRPr="00D14A7B">
        <w:rPr>
          <w:rFonts w:cs="Arial"/>
          <w:szCs w:val="24"/>
        </w:rPr>
        <w:t>Non-alcoholic f</w:t>
      </w:r>
      <w:r w:rsidR="00145BD8" w:rsidRPr="00D14A7B">
        <w:rPr>
          <w:rFonts w:cs="Arial"/>
          <w:szCs w:val="24"/>
        </w:rPr>
        <w:t>uels derived from biological materials</w:t>
      </w:r>
      <w:r w:rsidR="00326E59" w:rsidRPr="00D14A7B">
        <w:rPr>
          <w:rStyle w:val="FootnoteReference"/>
          <w:rFonts w:cs="Arial"/>
          <w:szCs w:val="24"/>
        </w:rPr>
        <w:footnoteReference w:id="9"/>
      </w:r>
    </w:p>
    <w:p w:rsidR="00145BD8" w:rsidRPr="00D14A7B" w:rsidRDefault="00145BD8" w:rsidP="00145BD8">
      <w:pPr>
        <w:pStyle w:val="ListParagraph"/>
        <w:numPr>
          <w:ilvl w:val="0"/>
          <w:numId w:val="2"/>
        </w:numPr>
        <w:rPr>
          <w:rFonts w:cs="Arial"/>
          <w:szCs w:val="24"/>
        </w:rPr>
      </w:pPr>
      <w:r w:rsidRPr="00D14A7B">
        <w:rPr>
          <w:rFonts w:cs="Arial"/>
          <w:szCs w:val="24"/>
        </w:rPr>
        <w:t>P-Series fuels</w:t>
      </w:r>
      <w:r w:rsidR="00326E59" w:rsidRPr="00D14A7B">
        <w:rPr>
          <w:rStyle w:val="FootnoteReference"/>
          <w:rFonts w:cs="Arial"/>
          <w:szCs w:val="24"/>
        </w:rPr>
        <w:footnoteReference w:id="10"/>
      </w:r>
    </w:p>
    <w:p w:rsidR="001314FA" w:rsidRPr="00D14A7B" w:rsidRDefault="001314FA" w:rsidP="00DC1C3C">
      <w:pPr>
        <w:rPr>
          <w:rFonts w:cs="Arial"/>
          <w:szCs w:val="24"/>
        </w:rPr>
      </w:pPr>
      <w:r w:rsidRPr="00D14A7B">
        <w:rPr>
          <w:rFonts w:cs="Arial"/>
          <w:szCs w:val="24"/>
        </w:rPr>
        <w:t xml:space="preserve">AFVs are associated with a variety </w:t>
      </w:r>
      <w:r w:rsidR="00A60C0A" w:rsidRPr="00D14A7B">
        <w:rPr>
          <w:rFonts w:cs="Arial"/>
          <w:szCs w:val="24"/>
        </w:rPr>
        <w:t xml:space="preserve">of </w:t>
      </w:r>
      <w:r w:rsidRPr="00D14A7B">
        <w:rPr>
          <w:rFonts w:cs="Arial"/>
          <w:szCs w:val="24"/>
        </w:rPr>
        <w:t xml:space="preserve">costs and infrastructure needs. For instance, stations to provide </w:t>
      </w:r>
      <w:r w:rsidR="00C11E8A" w:rsidRPr="00D14A7B">
        <w:rPr>
          <w:rFonts w:cs="Arial"/>
          <w:szCs w:val="24"/>
        </w:rPr>
        <w:t xml:space="preserve">alternative fuels, especially for </w:t>
      </w:r>
      <w:r w:rsidRPr="00D14A7B">
        <w:rPr>
          <w:rFonts w:cs="Arial"/>
          <w:szCs w:val="24"/>
        </w:rPr>
        <w:t xml:space="preserve">natural gas </w:t>
      </w:r>
      <w:r w:rsidR="00C11E8A" w:rsidRPr="00D14A7B">
        <w:rPr>
          <w:rFonts w:cs="Arial"/>
          <w:szCs w:val="24"/>
        </w:rPr>
        <w:t>and</w:t>
      </w:r>
      <w:r w:rsidRPr="00D14A7B">
        <w:rPr>
          <w:rFonts w:cs="Arial"/>
          <w:szCs w:val="24"/>
        </w:rPr>
        <w:t xml:space="preserve"> hydrogen</w:t>
      </w:r>
      <w:r w:rsidR="00C11E8A" w:rsidRPr="00D14A7B">
        <w:rPr>
          <w:rFonts w:cs="Arial"/>
          <w:szCs w:val="24"/>
        </w:rPr>
        <w:t>,</w:t>
      </w:r>
      <w:r w:rsidR="003A19B6" w:rsidRPr="00D14A7B">
        <w:rPr>
          <w:rFonts w:cs="Arial"/>
          <w:szCs w:val="24"/>
        </w:rPr>
        <w:t xml:space="preserve"> will be</w:t>
      </w:r>
      <w:r w:rsidRPr="00D14A7B">
        <w:rPr>
          <w:rFonts w:cs="Arial"/>
          <w:szCs w:val="24"/>
        </w:rPr>
        <w:t xml:space="preserve"> </w:t>
      </w:r>
      <w:r w:rsidR="00A60C0A" w:rsidRPr="00D14A7B">
        <w:rPr>
          <w:rFonts w:cs="Arial"/>
          <w:szCs w:val="24"/>
        </w:rPr>
        <w:t>necessary</w:t>
      </w:r>
      <w:r w:rsidR="00FC05CE" w:rsidRPr="00D14A7B">
        <w:rPr>
          <w:rFonts w:cs="Arial"/>
          <w:szCs w:val="24"/>
        </w:rPr>
        <w:t xml:space="preserve"> </w:t>
      </w:r>
      <w:r w:rsidRPr="00D14A7B">
        <w:rPr>
          <w:rFonts w:cs="Arial"/>
          <w:szCs w:val="24"/>
        </w:rPr>
        <w:t xml:space="preserve">prior to consumers purchasing vehicles </w:t>
      </w:r>
      <w:r w:rsidR="00A60C0A" w:rsidRPr="00D14A7B">
        <w:rPr>
          <w:rFonts w:cs="Arial"/>
          <w:szCs w:val="24"/>
        </w:rPr>
        <w:t>requiring</w:t>
      </w:r>
      <w:r w:rsidRPr="00D14A7B">
        <w:rPr>
          <w:rFonts w:cs="Arial"/>
          <w:szCs w:val="24"/>
        </w:rPr>
        <w:t xml:space="preserve"> those fuels. Infrastructure for electric vehicles is less essential</w:t>
      </w:r>
      <w:r w:rsidR="001E79A5" w:rsidRPr="00D14A7B">
        <w:rPr>
          <w:rFonts w:cs="Arial"/>
          <w:szCs w:val="24"/>
        </w:rPr>
        <w:t>;</w:t>
      </w:r>
      <w:r w:rsidRPr="00D14A7B">
        <w:rPr>
          <w:rFonts w:cs="Arial"/>
          <w:szCs w:val="24"/>
        </w:rPr>
        <w:t xml:space="preserve"> electric outlets are fairly ubiquitous, and early adopters are likely to do the majority of their charging at home. Biofuel adoption has already</w:t>
      </w:r>
      <w:r w:rsidR="001E79A5" w:rsidRPr="00D14A7B">
        <w:rPr>
          <w:rFonts w:cs="Arial"/>
          <w:szCs w:val="24"/>
        </w:rPr>
        <w:t xml:space="preserve"> begun </w:t>
      </w:r>
      <w:r w:rsidRPr="00D14A7B">
        <w:rPr>
          <w:rFonts w:cs="Arial"/>
          <w:szCs w:val="24"/>
        </w:rPr>
        <w:t xml:space="preserve">in the form of blended fuels that use existing infrastructure. </w:t>
      </w:r>
      <w:r w:rsidR="001E79A5" w:rsidRPr="00D14A7B">
        <w:rPr>
          <w:rFonts w:cs="Arial"/>
          <w:szCs w:val="24"/>
        </w:rPr>
        <w:t>T</w:t>
      </w:r>
      <w:r w:rsidRPr="00D14A7B">
        <w:rPr>
          <w:rFonts w:cs="Arial"/>
          <w:szCs w:val="24"/>
        </w:rPr>
        <w:t xml:space="preserve">he majority of vehicles in use that are capable of using higher biofuel concentrations are also capable of </w:t>
      </w:r>
      <w:r w:rsidRPr="00D14A7B">
        <w:rPr>
          <w:rFonts w:cs="Arial"/>
          <w:szCs w:val="24"/>
        </w:rPr>
        <w:lastRenderedPageBreak/>
        <w:t xml:space="preserve">running on plain gasoline, making them completely backwards compatible </w:t>
      </w:r>
      <w:r w:rsidR="00C11E8A" w:rsidRPr="00D14A7B">
        <w:rPr>
          <w:rFonts w:cs="Arial"/>
          <w:szCs w:val="24"/>
        </w:rPr>
        <w:t xml:space="preserve">(that is, able to use old infrastructure as well as new infrastructure) </w:t>
      </w:r>
      <w:r w:rsidRPr="00D14A7B">
        <w:rPr>
          <w:rFonts w:cs="Arial"/>
          <w:szCs w:val="24"/>
        </w:rPr>
        <w:t>and less dependent on new infrastructure.</w:t>
      </w:r>
    </w:p>
    <w:p w:rsidR="00DC1C3C" w:rsidRPr="00D14A7B" w:rsidRDefault="00E274F9" w:rsidP="00DC1C3C">
      <w:pPr>
        <w:rPr>
          <w:rFonts w:cs="Arial"/>
          <w:szCs w:val="24"/>
        </w:rPr>
      </w:pPr>
      <w:r w:rsidRPr="00D14A7B">
        <w:rPr>
          <w:rFonts w:cs="Arial"/>
          <w:szCs w:val="24"/>
        </w:rPr>
        <w:t>Gasoline, diesel, and s</w:t>
      </w:r>
      <w:r w:rsidR="00DC1C3C" w:rsidRPr="00D14A7B">
        <w:rPr>
          <w:rFonts w:cs="Arial"/>
          <w:szCs w:val="24"/>
        </w:rPr>
        <w:t xml:space="preserve">everal </w:t>
      </w:r>
      <w:r w:rsidR="001314FA" w:rsidRPr="00D14A7B">
        <w:rPr>
          <w:rFonts w:cs="Arial"/>
          <w:szCs w:val="24"/>
        </w:rPr>
        <w:t>alternative</w:t>
      </w:r>
      <w:r w:rsidR="00DC1C3C" w:rsidRPr="00D14A7B">
        <w:rPr>
          <w:rFonts w:cs="Arial"/>
          <w:szCs w:val="24"/>
        </w:rPr>
        <w:t xml:space="preserve"> fuels are discussed in subsequent sections; however, this report will focus primarily on natural gas, electricity, hydrogen, and biofuels.</w:t>
      </w:r>
      <w:r w:rsidR="003672C2" w:rsidRPr="00D14A7B">
        <w:rPr>
          <w:rFonts w:cs="Arial"/>
          <w:szCs w:val="24"/>
        </w:rPr>
        <w:t xml:space="preserve"> </w:t>
      </w:r>
      <w:r w:rsidR="001314FA" w:rsidRPr="00D14A7B">
        <w:rPr>
          <w:rFonts w:cs="Arial"/>
          <w:szCs w:val="24"/>
        </w:rPr>
        <w:t>These</w:t>
      </w:r>
      <w:r w:rsidR="003672C2" w:rsidRPr="00D14A7B">
        <w:rPr>
          <w:rFonts w:cs="Arial"/>
          <w:szCs w:val="24"/>
        </w:rPr>
        <w:t xml:space="preserve"> four fuels can displace petroleum use and </w:t>
      </w:r>
      <w:r w:rsidR="001314FA" w:rsidRPr="00D14A7B">
        <w:rPr>
          <w:rFonts w:cs="Arial"/>
          <w:szCs w:val="24"/>
        </w:rPr>
        <w:t>have</w:t>
      </w:r>
      <w:r w:rsidR="003672C2" w:rsidRPr="00D14A7B">
        <w:rPr>
          <w:rFonts w:cs="Arial"/>
          <w:szCs w:val="24"/>
        </w:rPr>
        <w:t xml:space="preserve"> the potential</w:t>
      </w:r>
      <w:r w:rsidR="004314B8" w:rsidRPr="00D14A7B">
        <w:rPr>
          <w:rFonts w:cs="Arial"/>
          <w:szCs w:val="24"/>
        </w:rPr>
        <w:t xml:space="preserve"> to reduce GHG emission</w:t>
      </w:r>
      <w:r w:rsidR="001314FA" w:rsidRPr="00D14A7B">
        <w:rPr>
          <w:rFonts w:cs="Arial"/>
          <w:szCs w:val="24"/>
        </w:rPr>
        <w:t xml:space="preserve">s and improve energy security. </w:t>
      </w:r>
    </w:p>
    <w:p w:rsidR="00DE45F0" w:rsidRPr="008720F3" w:rsidRDefault="00DE45F0" w:rsidP="00D14A7B">
      <w:pPr>
        <w:pStyle w:val="Heading2"/>
      </w:pPr>
      <w:bookmarkStart w:id="7" w:name="_Toc352854165"/>
      <w:r w:rsidRPr="008720F3">
        <w:t>Gasoline</w:t>
      </w:r>
      <w:bookmarkEnd w:id="7"/>
    </w:p>
    <w:p w:rsidR="00A86C96" w:rsidRPr="00D14A7B" w:rsidRDefault="00DE45F0" w:rsidP="00DE45F0">
      <w:pPr>
        <w:rPr>
          <w:rFonts w:cs="Arial"/>
          <w:szCs w:val="24"/>
        </w:rPr>
      </w:pPr>
      <w:r w:rsidRPr="00D14A7B">
        <w:rPr>
          <w:rFonts w:cs="Arial"/>
          <w:szCs w:val="24"/>
        </w:rPr>
        <w:t>Gasoline is the primary fuel used to power light-duty vehicles.</w:t>
      </w:r>
      <w:r w:rsidR="00F35122" w:rsidRPr="00D14A7B">
        <w:rPr>
          <w:rFonts w:cs="Arial"/>
          <w:szCs w:val="24"/>
        </w:rPr>
        <w:t xml:space="preserve"> </w:t>
      </w:r>
      <w:r w:rsidR="00355B25" w:rsidRPr="00D14A7B">
        <w:rPr>
          <w:rFonts w:cs="Arial"/>
          <w:szCs w:val="24"/>
        </w:rPr>
        <w:t>Gasoline is a petroleum-derived, liquid fuel and is considered a conventional, incumbent fuel. In the United States, gasoline is referred to as gas</w:t>
      </w:r>
      <w:r w:rsidR="001E79A5" w:rsidRPr="00D14A7B">
        <w:rPr>
          <w:rFonts w:cs="Arial"/>
          <w:szCs w:val="24"/>
        </w:rPr>
        <w:t>;</w:t>
      </w:r>
      <w:r w:rsidR="00355B25" w:rsidRPr="00D14A7B">
        <w:rPr>
          <w:rFonts w:cs="Arial"/>
          <w:szCs w:val="24"/>
        </w:rPr>
        <w:t xml:space="preserve"> in Europe</w:t>
      </w:r>
      <w:r w:rsidR="001E79A5" w:rsidRPr="00D14A7B">
        <w:rPr>
          <w:rFonts w:cs="Arial"/>
          <w:szCs w:val="24"/>
        </w:rPr>
        <w:t>,</w:t>
      </w:r>
      <w:r w:rsidR="00355B25" w:rsidRPr="00D14A7B">
        <w:rPr>
          <w:rFonts w:cs="Arial"/>
          <w:szCs w:val="24"/>
        </w:rPr>
        <w:t xml:space="preserve"> it is referred to as petrol. </w:t>
      </w:r>
    </w:p>
    <w:p w:rsidR="00A86C96" w:rsidRPr="00D14A7B" w:rsidRDefault="00A86C96" w:rsidP="00DE45F0">
      <w:pPr>
        <w:rPr>
          <w:rFonts w:cs="Arial"/>
          <w:szCs w:val="24"/>
        </w:rPr>
      </w:pPr>
      <w:r w:rsidRPr="00D14A7B">
        <w:rPr>
          <w:rFonts w:cs="Arial"/>
          <w:szCs w:val="24"/>
        </w:rPr>
        <w:t>Nearly half (19 gallons) of a barrel (42 gallons) of crude oil can be refined into gasoline.</w:t>
      </w:r>
      <w:r w:rsidRPr="00D14A7B">
        <w:rPr>
          <w:rStyle w:val="FootnoteReference"/>
          <w:rFonts w:cs="Arial"/>
          <w:szCs w:val="24"/>
        </w:rPr>
        <w:footnoteReference w:id="11"/>
      </w:r>
      <w:r w:rsidRPr="00D14A7B">
        <w:rPr>
          <w:rFonts w:cs="Arial"/>
          <w:szCs w:val="24"/>
        </w:rPr>
        <w:t xml:space="preserve"> The remaining portion of crude oil can produce diesel fuel, jet fuel, residual fuel oils, and other products. </w:t>
      </w:r>
    </w:p>
    <w:p w:rsidR="00DE45F0" w:rsidRPr="00D14A7B" w:rsidRDefault="00A86C96" w:rsidP="00DE45F0">
      <w:pPr>
        <w:rPr>
          <w:rFonts w:cs="Arial"/>
          <w:szCs w:val="24"/>
        </w:rPr>
      </w:pPr>
      <w:r w:rsidRPr="00D14A7B">
        <w:rPr>
          <w:rFonts w:cs="Arial"/>
          <w:szCs w:val="24"/>
        </w:rPr>
        <w:t>The infrastructure</w:t>
      </w:r>
      <w:r w:rsidR="001E79A5" w:rsidRPr="00D14A7B">
        <w:rPr>
          <w:rFonts w:cs="Arial"/>
          <w:szCs w:val="24"/>
        </w:rPr>
        <w:t xml:space="preserve"> required</w:t>
      </w:r>
      <w:r w:rsidRPr="00D14A7B">
        <w:rPr>
          <w:rFonts w:cs="Arial"/>
          <w:szCs w:val="24"/>
        </w:rPr>
        <w:t xml:space="preserve"> to produce, distribute, and dispense gasoline developed along with the automo</w:t>
      </w:r>
      <w:r w:rsidR="001E79A5" w:rsidRPr="00D14A7B">
        <w:rPr>
          <w:rFonts w:cs="Arial"/>
          <w:szCs w:val="24"/>
        </w:rPr>
        <w:t>bile</w:t>
      </w:r>
      <w:r w:rsidRPr="00D14A7B">
        <w:rPr>
          <w:rFonts w:cs="Arial"/>
          <w:szCs w:val="24"/>
        </w:rPr>
        <w:t xml:space="preserve">. </w:t>
      </w:r>
      <w:r w:rsidR="00355B25" w:rsidRPr="00D14A7B">
        <w:rPr>
          <w:rFonts w:cs="Arial"/>
          <w:szCs w:val="24"/>
        </w:rPr>
        <w:t xml:space="preserve">As one of the earliest fuels for motor vehicles, </w:t>
      </w:r>
      <w:r w:rsidRPr="00D14A7B">
        <w:rPr>
          <w:rFonts w:cs="Arial"/>
          <w:szCs w:val="24"/>
        </w:rPr>
        <w:t>gasoline has a well-established infrastructure in most countries</w:t>
      </w:r>
      <w:r w:rsidR="00F35122" w:rsidRPr="00D14A7B">
        <w:rPr>
          <w:rFonts w:cs="Arial"/>
          <w:szCs w:val="24"/>
        </w:rPr>
        <w:t xml:space="preserve">, </w:t>
      </w:r>
      <w:r w:rsidR="00355B25" w:rsidRPr="00D14A7B">
        <w:rPr>
          <w:rFonts w:cs="Arial"/>
          <w:szCs w:val="24"/>
        </w:rPr>
        <w:t xml:space="preserve">where </w:t>
      </w:r>
      <w:r w:rsidR="001E79A5" w:rsidRPr="00D14A7B">
        <w:rPr>
          <w:rFonts w:cs="Arial"/>
          <w:szCs w:val="24"/>
        </w:rPr>
        <w:t>it</w:t>
      </w:r>
      <w:r w:rsidR="00F35122" w:rsidRPr="00D14A7B">
        <w:rPr>
          <w:rFonts w:cs="Arial"/>
          <w:szCs w:val="24"/>
        </w:rPr>
        <w:t xml:space="preserve"> is widely available for purchase.</w:t>
      </w:r>
      <w:r w:rsidR="00355B25" w:rsidRPr="00D14A7B">
        <w:rPr>
          <w:rFonts w:cs="Arial"/>
          <w:szCs w:val="24"/>
        </w:rPr>
        <w:t xml:space="preserve"> </w:t>
      </w:r>
    </w:p>
    <w:p w:rsidR="00216C49" w:rsidRPr="008720F3" w:rsidRDefault="00216C49" w:rsidP="00D14A7B">
      <w:pPr>
        <w:pStyle w:val="Heading2"/>
      </w:pPr>
      <w:bookmarkStart w:id="8" w:name="_Toc352854166"/>
      <w:r w:rsidRPr="008720F3">
        <w:t>Diesel</w:t>
      </w:r>
      <w:bookmarkEnd w:id="8"/>
    </w:p>
    <w:p w:rsidR="00B75B29" w:rsidRPr="00D14A7B" w:rsidRDefault="00216C49" w:rsidP="00216C49">
      <w:pPr>
        <w:rPr>
          <w:rFonts w:cs="Arial"/>
          <w:szCs w:val="24"/>
        </w:rPr>
      </w:pPr>
      <w:r w:rsidRPr="00D14A7B">
        <w:rPr>
          <w:rFonts w:cs="Arial"/>
          <w:szCs w:val="24"/>
        </w:rPr>
        <w:t>Diesel</w:t>
      </w:r>
      <w:r w:rsidR="001E79A5" w:rsidRPr="00D14A7B">
        <w:rPr>
          <w:rFonts w:cs="Arial"/>
          <w:szCs w:val="24"/>
        </w:rPr>
        <w:t>, like gasoline,</w:t>
      </w:r>
      <w:r w:rsidRPr="00D14A7B">
        <w:rPr>
          <w:rFonts w:cs="Arial"/>
          <w:szCs w:val="24"/>
        </w:rPr>
        <w:t xml:space="preserve"> is a</w:t>
      </w:r>
      <w:r w:rsidR="003672C2" w:rsidRPr="00D14A7B">
        <w:rPr>
          <w:rFonts w:cs="Arial"/>
          <w:szCs w:val="24"/>
        </w:rPr>
        <w:t xml:space="preserve"> petroleum-based,</w:t>
      </w:r>
      <w:r w:rsidRPr="00D14A7B">
        <w:rPr>
          <w:rFonts w:cs="Arial"/>
          <w:szCs w:val="24"/>
        </w:rPr>
        <w:t xml:space="preserve"> liquid fuel</w:t>
      </w:r>
      <w:r w:rsidR="00282050" w:rsidRPr="00D14A7B">
        <w:rPr>
          <w:rFonts w:cs="Arial"/>
          <w:szCs w:val="24"/>
        </w:rPr>
        <w:t>.</w:t>
      </w:r>
      <w:r w:rsidRPr="00D14A7B">
        <w:rPr>
          <w:rFonts w:cs="Arial"/>
          <w:szCs w:val="24"/>
        </w:rPr>
        <w:t xml:space="preserve"> </w:t>
      </w:r>
      <w:r w:rsidR="00282050" w:rsidRPr="00D14A7B">
        <w:rPr>
          <w:rFonts w:cs="Arial"/>
          <w:szCs w:val="24"/>
        </w:rPr>
        <w:t>It</w:t>
      </w:r>
      <w:r w:rsidRPr="00D14A7B">
        <w:rPr>
          <w:rFonts w:cs="Arial"/>
          <w:szCs w:val="24"/>
        </w:rPr>
        <w:t xml:space="preserve"> can be used in diesel engines</w:t>
      </w:r>
      <w:r w:rsidR="00184947" w:rsidRPr="00D14A7B">
        <w:rPr>
          <w:rFonts w:cs="Arial"/>
          <w:szCs w:val="24"/>
        </w:rPr>
        <w:t xml:space="preserve"> and is not typically considered an alternative fuel</w:t>
      </w:r>
      <w:r w:rsidRPr="00D14A7B">
        <w:rPr>
          <w:rFonts w:cs="Arial"/>
          <w:szCs w:val="24"/>
        </w:rPr>
        <w:t xml:space="preserve">. </w:t>
      </w:r>
      <w:r w:rsidR="00184947" w:rsidRPr="00D14A7B">
        <w:rPr>
          <w:rFonts w:cs="Arial"/>
          <w:szCs w:val="24"/>
        </w:rPr>
        <w:t>It is</w:t>
      </w:r>
      <w:r w:rsidR="00D61512">
        <w:rPr>
          <w:rFonts w:cs="Arial"/>
          <w:szCs w:val="24"/>
        </w:rPr>
        <w:t>, however,</w:t>
      </w:r>
      <w:r w:rsidR="00184947" w:rsidRPr="00D14A7B">
        <w:rPr>
          <w:rFonts w:cs="Arial"/>
          <w:szCs w:val="24"/>
        </w:rPr>
        <w:t xml:space="preserve"> sometimes included as an alternative to gasoline, because the use of a diesel engine can improve a vehicle’s fuel economy. While diesel itself produces more GHG emissions per gallon </w:t>
      </w:r>
      <w:r w:rsidR="001E79A5" w:rsidRPr="00D14A7B">
        <w:rPr>
          <w:rFonts w:cs="Arial"/>
          <w:szCs w:val="24"/>
        </w:rPr>
        <w:t>than</w:t>
      </w:r>
      <w:r w:rsidR="00184947" w:rsidRPr="00D14A7B">
        <w:rPr>
          <w:rFonts w:cs="Arial"/>
          <w:szCs w:val="24"/>
        </w:rPr>
        <w:t xml:space="preserve"> gasoline</w:t>
      </w:r>
      <w:r w:rsidR="00426E19" w:rsidRPr="00D14A7B">
        <w:rPr>
          <w:rFonts w:cs="Arial"/>
          <w:szCs w:val="24"/>
        </w:rPr>
        <w:t xml:space="preserve"> (10,180 grams CO</w:t>
      </w:r>
      <w:r w:rsidR="00426E19" w:rsidRPr="00D14A7B">
        <w:rPr>
          <w:rFonts w:cs="Arial"/>
          <w:szCs w:val="24"/>
          <w:vertAlign w:val="subscript"/>
        </w:rPr>
        <w:t>2</w:t>
      </w:r>
      <w:r w:rsidR="00426E19" w:rsidRPr="00D14A7B">
        <w:rPr>
          <w:rFonts w:cs="Arial"/>
          <w:szCs w:val="24"/>
        </w:rPr>
        <w:t>/gallon compared to 8,887 grams CO</w:t>
      </w:r>
      <w:r w:rsidR="00426E19" w:rsidRPr="00D14A7B">
        <w:rPr>
          <w:rFonts w:cs="Arial"/>
          <w:szCs w:val="24"/>
          <w:vertAlign w:val="subscript"/>
        </w:rPr>
        <w:t>2</w:t>
      </w:r>
      <w:r w:rsidR="00426E19" w:rsidRPr="00D14A7B">
        <w:rPr>
          <w:rFonts w:cs="Arial"/>
          <w:szCs w:val="24"/>
        </w:rPr>
        <w:t>/gallon)</w:t>
      </w:r>
      <w:r w:rsidR="00184947" w:rsidRPr="00D14A7B">
        <w:rPr>
          <w:rFonts w:cs="Arial"/>
          <w:szCs w:val="24"/>
        </w:rPr>
        <w:t>, due to its higher fuel efficiency, diesel vehicles produce fewer GHGs on a per-mile basis.</w:t>
      </w:r>
      <w:r w:rsidR="00426E19" w:rsidRPr="00D14A7B">
        <w:rPr>
          <w:rStyle w:val="FootnoteReference"/>
          <w:rFonts w:cs="Arial"/>
          <w:szCs w:val="24"/>
        </w:rPr>
        <w:footnoteReference w:id="12"/>
      </w:r>
      <w:r w:rsidR="00184947" w:rsidRPr="00D14A7B">
        <w:rPr>
          <w:rFonts w:cs="Arial"/>
          <w:szCs w:val="24"/>
        </w:rPr>
        <w:t xml:space="preserve"> </w:t>
      </w:r>
      <w:r w:rsidR="00FC05CE" w:rsidRPr="00D14A7B">
        <w:rPr>
          <w:rFonts w:cs="Arial"/>
          <w:szCs w:val="24"/>
        </w:rPr>
        <w:t>Further, d</w:t>
      </w:r>
      <w:r w:rsidR="00B75B29" w:rsidRPr="00D14A7B">
        <w:rPr>
          <w:rFonts w:cs="Arial"/>
          <w:szCs w:val="24"/>
        </w:rPr>
        <w:t>iesel engines emit less carbon monoxide than gasoline engines, approximately the same volatile organic compounds (VOCs), more nitrogen oxides (</w:t>
      </w:r>
      <w:r w:rsidR="00FD4CE3" w:rsidRPr="00D14A7B">
        <w:rPr>
          <w:rFonts w:cs="Arial"/>
          <w:szCs w:val="24"/>
        </w:rPr>
        <w:t>NOx</w:t>
      </w:r>
      <w:r w:rsidR="00B75B29" w:rsidRPr="00D14A7B">
        <w:rPr>
          <w:rFonts w:cs="Arial"/>
          <w:szCs w:val="24"/>
        </w:rPr>
        <w:t>), and airborne particulates (which aren’t emitted by gasoline engines).</w:t>
      </w:r>
      <w:r w:rsidR="00B75B29" w:rsidRPr="00D14A7B">
        <w:rPr>
          <w:rStyle w:val="FootnoteReference"/>
          <w:rFonts w:cs="Arial"/>
          <w:szCs w:val="24"/>
        </w:rPr>
        <w:footnoteReference w:id="13"/>
      </w:r>
    </w:p>
    <w:p w:rsidR="00216C49" w:rsidRPr="00D14A7B" w:rsidRDefault="00216C49" w:rsidP="00216C49">
      <w:pPr>
        <w:rPr>
          <w:rFonts w:cs="Arial"/>
          <w:szCs w:val="24"/>
        </w:rPr>
      </w:pPr>
      <w:r w:rsidRPr="00D14A7B">
        <w:rPr>
          <w:rFonts w:cs="Arial"/>
          <w:szCs w:val="24"/>
        </w:rPr>
        <w:t xml:space="preserve">The diesel engine, sometimes called a compression-ignition engine, was invented in the late 1800s. </w:t>
      </w:r>
      <w:r w:rsidR="00FC05CE" w:rsidRPr="00D14A7B">
        <w:rPr>
          <w:rFonts w:cs="Arial"/>
          <w:szCs w:val="24"/>
        </w:rPr>
        <w:t>It</w:t>
      </w:r>
      <w:r w:rsidRPr="00D14A7B">
        <w:rPr>
          <w:rFonts w:cs="Arial"/>
          <w:szCs w:val="24"/>
        </w:rPr>
        <w:t xml:space="preserve"> was created as a replacement for steam engines and</w:t>
      </w:r>
      <w:r w:rsidR="00E274F9" w:rsidRPr="00D14A7B">
        <w:rPr>
          <w:rFonts w:cs="Arial"/>
          <w:szCs w:val="24"/>
        </w:rPr>
        <w:t xml:space="preserve"> was initially used in ships, locomotives, and stationary application</w:t>
      </w:r>
      <w:r w:rsidRPr="00D14A7B">
        <w:rPr>
          <w:rFonts w:cs="Arial"/>
          <w:szCs w:val="24"/>
        </w:rPr>
        <w:t>s.</w:t>
      </w:r>
      <w:r w:rsidRPr="00D14A7B">
        <w:rPr>
          <w:rStyle w:val="FootnoteReference"/>
          <w:rFonts w:cs="Arial"/>
          <w:szCs w:val="24"/>
        </w:rPr>
        <w:footnoteReference w:id="14"/>
      </w:r>
      <w:r w:rsidRPr="00D14A7B">
        <w:rPr>
          <w:rFonts w:cs="Arial"/>
          <w:szCs w:val="24"/>
        </w:rPr>
        <w:t xml:space="preserve"> Because early diesel engines were viewed as slow, large, heavy, and inflexible, they were not commonly used in road vehicles until engine improvements allowed them to be made smaller and lighter. In the 1930s, in both Europe and North America, diesel engines began to be used in buses, trucks, and military vehicles.</w:t>
      </w:r>
      <w:r w:rsidRPr="00D14A7B">
        <w:rPr>
          <w:rStyle w:val="FootnoteReference"/>
          <w:rFonts w:cs="Arial"/>
          <w:szCs w:val="24"/>
        </w:rPr>
        <w:footnoteReference w:id="15"/>
      </w:r>
    </w:p>
    <w:p w:rsidR="00216C49" w:rsidRPr="00D14A7B" w:rsidRDefault="00216C49" w:rsidP="00216C49">
      <w:pPr>
        <w:rPr>
          <w:rFonts w:cs="Arial"/>
          <w:szCs w:val="24"/>
        </w:rPr>
      </w:pPr>
      <w:r w:rsidRPr="00D14A7B">
        <w:rPr>
          <w:rFonts w:cs="Arial"/>
          <w:szCs w:val="24"/>
        </w:rPr>
        <w:lastRenderedPageBreak/>
        <w:t>Over the years</w:t>
      </w:r>
      <w:r w:rsidR="001E79A5" w:rsidRPr="00D14A7B">
        <w:rPr>
          <w:rFonts w:cs="Arial"/>
          <w:szCs w:val="24"/>
        </w:rPr>
        <w:t>,</w:t>
      </w:r>
      <w:r w:rsidRPr="00D14A7B">
        <w:rPr>
          <w:rFonts w:cs="Arial"/>
          <w:szCs w:val="24"/>
        </w:rPr>
        <w:t xml:space="preserve"> many fueling stations have been constructed to serve drivers of diesel vehicles. </w:t>
      </w:r>
      <w:r w:rsidR="001E79A5" w:rsidRPr="00D14A7B">
        <w:rPr>
          <w:rFonts w:cs="Arial"/>
          <w:szCs w:val="24"/>
        </w:rPr>
        <w:t>I</w:t>
      </w:r>
      <w:r w:rsidRPr="00D14A7B">
        <w:rPr>
          <w:rFonts w:cs="Arial"/>
          <w:szCs w:val="24"/>
        </w:rPr>
        <w:t>n the United States, where few light vehicles use diesel fuel, it is available at nearly half (42 percent) of retail gasoline stations.</w:t>
      </w:r>
      <w:r w:rsidRPr="00D14A7B">
        <w:rPr>
          <w:rStyle w:val="FootnoteReference"/>
          <w:rFonts w:cs="Arial"/>
          <w:szCs w:val="24"/>
        </w:rPr>
        <w:footnoteReference w:id="16"/>
      </w:r>
      <w:r w:rsidRPr="00D14A7B">
        <w:rPr>
          <w:rFonts w:cs="Arial"/>
          <w:szCs w:val="24"/>
        </w:rPr>
        <w:t xml:space="preserve"> In Europe, where more than half of all light vehicles sold each year run on diesel,</w:t>
      </w:r>
      <w:r w:rsidRPr="00D14A7B">
        <w:rPr>
          <w:rStyle w:val="FootnoteReference"/>
          <w:rFonts w:cs="Arial"/>
          <w:szCs w:val="24"/>
        </w:rPr>
        <w:footnoteReference w:id="17"/>
      </w:r>
      <w:r w:rsidRPr="00D14A7B">
        <w:rPr>
          <w:rFonts w:cs="Arial"/>
          <w:szCs w:val="24"/>
        </w:rPr>
        <w:t xml:space="preserve"> the fuel is available at nearly every gas station.</w:t>
      </w:r>
      <w:r w:rsidRPr="00D14A7B">
        <w:rPr>
          <w:rStyle w:val="FootnoteReference"/>
          <w:rFonts w:cs="Arial"/>
          <w:szCs w:val="24"/>
        </w:rPr>
        <w:footnoteReference w:id="18"/>
      </w:r>
      <w:r w:rsidRPr="00D14A7B">
        <w:rPr>
          <w:rFonts w:cs="Arial"/>
          <w:szCs w:val="24"/>
        </w:rPr>
        <w:t xml:space="preserve"> Because diesel fuel has a relatively high degree of availability, financing diesel infrastructure will not be discussed in this paper.</w:t>
      </w:r>
    </w:p>
    <w:p w:rsidR="004847F1" w:rsidRPr="008720F3" w:rsidRDefault="00B31A8A" w:rsidP="00D14A7B">
      <w:pPr>
        <w:pStyle w:val="Heading2"/>
      </w:pPr>
      <w:bookmarkStart w:id="9" w:name="_Toc352854167"/>
      <w:r w:rsidRPr="008720F3">
        <w:t>Natural Gas</w:t>
      </w:r>
      <w:bookmarkEnd w:id="9"/>
    </w:p>
    <w:p w:rsidR="001E6B9E" w:rsidRPr="00D14A7B" w:rsidRDefault="001E6B9E" w:rsidP="001E6B9E">
      <w:pPr>
        <w:rPr>
          <w:rFonts w:cs="Arial"/>
          <w:szCs w:val="24"/>
        </w:rPr>
      </w:pPr>
      <w:r w:rsidRPr="00D14A7B">
        <w:rPr>
          <w:rFonts w:cs="Arial"/>
          <w:szCs w:val="24"/>
        </w:rPr>
        <w:t>Natural gas is a naturally occurring fossil fuel composed mainly of methane. It</w:t>
      </w:r>
      <w:r w:rsidR="00D852C7" w:rsidRPr="00D14A7B">
        <w:rPr>
          <w:rFonts w:cs="Arial"/>
          <w:szCs w:val="24"/>
        </w:rPr>
        <w:t xml:space="preserve"> is commonly used to heat buildings</w:t>
      </w:r>
      <w:r w:rsidRPr="00D14A7B">
        <w:rPr>
          <w:rFonts w:cs="Arial"/>
          <w:szCs w:val="24"/>
        </w:rPr>
        <w:t xml:space="preserve"> and generate electricity. Natural gas is cleaner-burning than other fossil fuels </w:t>
      </w:r>
      <w:r w:rsidR="001E79A5" w:rsidRPr="00D14A7B">
        <w:rPr>
          <w:rFonts w:cs="Arial"/>
          <w:szCs w:val="24"/>
        </w:rPr>
        <w:t>(</w:t>
      </w:r>
      <w:r w:rsidRPr="00D14A7B">
        <w:rPr>
          <w:rFonts w:cs="Arial"/>
          <w:szCs w:val="24"/>
        </w:rPr>
        <w:t>such as coal and oil</w:t>
      </w:r>
      <w:r w:rsidR="001260F2" w:rsidRPr="00D14A7B">
        <w:rPr>
          <w:rFonts w:cs="Arial"/>
          <w:szCs w:val="24"/>
        </w:rPr>
        <w:t>)</w:t>
      </w:r>
      <w:r w:rsidRPr="00D14A7B">
        <w:rPr>
          <w:rFonts w:cs="Arial"/>
          <w:szCs w:val="24"/>
        </w:rPr>
        <w:t xml:space="preserve"> and produces lower q</w:t>
      </w:r>
      <w:r w:rsidR="00784488" w:rsidRPr="00D14A7B">
        <w:rPr>
          <w:rFonts w:cs="Arial"/>
          <w:szCs w:val="24"/>
        </w:rPr>
        <w:t>uantities of GHGs</w:t>
      </w:r>
      <w:r w:rsidRPr="00D14A7B">
        <w:rPr>
          <w:rFonts w:cs="Arial"/>
          <w:szCs w:val="24"/>
        </w:rPr>
        <w:t xml:space="preserve"> when burned. It can be used as a fuel for vehicles in two forms: compressed natural gas (CNG) or liquefied natural gas (LNG).</w:t>
      </w:r>
    </w:p>
    <w:p w:rsidR="008D4935" w:rsidRPr="00D14A7B" w:rsidRDefault="008D4935" w:rsidP="001E6B9E">
      <w:pPr>
        <w:rPr>
          <w:rFonts w:cs="Arial"/>
          <w:szCs w:val="24"/>
        </w:rPr>
      </w:pPr>
      <w:r w:rsidRPr="00D14A7B">
        <w:rPr>
          <w:rFonts w:cs="Arial"/>
          <w:szCs w:val="24"/>
        </w:rPr>
        <w:t xml:space="preserve">There is a wide variety of new, heavy-duty natural gas-powered vehicles currently available on the market. The only light vehicle available </w:t>
      </w:r>
      <w:r w:rsidR="00D61512">
        <w:rPr>
          <w:rFonts w:cs="Arial"/>
          <w:szCs w:val="24"/>
        </w:rPr>
        <w:t xml:space="preserve">in the United States </w:t>
      </w:r>
      <w:r w:rsidR="0070387D" w:rsidRPr="00D14A7B">
        <w:rPr>
          <w:rFonts w:cs="Arial"/>
          <w:szCs w:val="24"/>
        </w:rPr>
        <w:t>is the Honda Civic GX. There</w:t>
      </w:r>
      <w:r w:rsidRPr="00D14A7B">
        <w:rPr>
          <w:rFonts w:cs="Arial"/>
          <w:szCs w:val="24"/>
        </w:rPr>
        <w:t xml:space="preserve"> is also the option of aftermarket conversion</w:t>
      </w:r>
      <w:r w:rsidR="00CF0187" w:rsidRPr="00D14A7B">
        <w:rPr>
          <w:rFonts w:cs="Arial"/>
          <w:szCs w:val="24"/>
        </w:rPr>
        <w:t>:</w:t>
      </w:r>
      <w:r w:rsidR="00FC05CE" w:rsidRPr="00D14A7B">
        <w:rPr>
          <w:rFonts w:cs="Arial"/>
          <w:szCs w:val="24"/>
        </w:rPr>
        <w:t xml:space="preserve"> new equipment can be installed in</w:t>
      </w:r>
      <w:r w:rsidRPr="00D14A7B">
        <w:rPr>
          <w:rFonts w:cs="Arial"/>
          <w:szCs w:val="24"/>
        </w:rPr>
        <w:t xml:space="preserve"> a gasoline or diesel vehicle to make it run on natural gas.</w:t>
      </w:r>
      <w:r w:rsidR="0070387D" w:rsidRPr="00D14A7B">
        <w:rPr>
          <w:rFonts w:cs="Arial"/>
          <w:szCs w:val="24"/>
        </w:rPr>
        <w:t xml:space="preserve"> Most light-duty CNG vehicles in the United States today have been converted from </w:t>
      </w:r>
      <w:r w:rsidR="00E274F9" w:rsidRPr="00D14A7B">
        <w:rPr>
          <w:rFonts w:cs="Arial"/>
          <w:szCs w:val="24"/>
        </w:rPr>
        <w:t xml:space="preserve">running on </w:t>
      </w:r>
      <w:r w:rsidR="0070387D" w:rsidRPr="00D14A7B">
        <w:rPr>
          <w:rFonts w:cs="Arial"/>
          <w:szCs w:val="24"/>
        </w:rPr>
        <w:t>petroleum-based fuels.</w:t>
      </w:r>
    </w:p>
    <w:p w:rsidR="0070387D" w:rsidRPr="00D14A7B" w:rsidRDefault="0070387D" w:rsidP="001E6B9E">
      <w:pPr>
        <w:rPr>
          <w:rFonts w:cs="Arial"/>
          <w:szCs w:val="24"/>
        </w:rPr>
      </w:pPr>
      <w:r w:rsidRPr="00D14A7B">
        <w:rPr>
          <w:rFonts w:cs="Arial"/>
          <w:szCs w:val="24"/>
        </w:rPr>
        <w:t>Natural gas is an attractive fuel for transportation because CNG and LNG vehicles generally have a high driving range on a full tank of fuel, refueling time is short, and natural gas is inexpensive compared to gasoline. In addition, natural gas vehicles produce lower GHGs compared to gasoline or diesel vehicles.</w:t>
      </w:r>
    </w:p>
    <w:p w:rsidR="001E6B9E" w:rsidRPr="008720F3" w:rsidRDefault="001E6B9E" w:rsidP="00D14A7B">
      <w:pPr>
        <w:pStyle w:val="Heading3"/>
      </w:pPr>
      <w:bookmarkStart w:id="10" w:name="_Toc352854168"/>
      <w:r w:rsidRPr="008720F3">
        <w:t>Compressed Natural Gas</w:t>
      </w:r>
      <w:bookmarkEnd w:id="10"/>
    </w:p>
    <w:p w:rsidR="00C12103" w:rsidRPr="00D14A7B" w:rsidRDefault="00C12103" w:rsidP="00C12103">
      <w:pPr>
        <w:rPr>
          <w:rFonts w:cs="Arial"/>
          <w:szCs w:val="24"/>
        </w:rPr>
      </w:pPr>
      <w:r w:rsidRPr="00D14A7B">
        <w:rPr>
          <w:rFonts w:cs="Arial"/>
          <w:szCs w:val="24"/>
        </w:rPr>
        <w:t>CNG is stored in pressurized containers at 3,000-3,600 pounds per square inch (PSI).</w:t>
      </w:r>
      <w:r w:rsidRPr="00D14A7B">
        <w:rPr>
          <w:rStyle w:val="FootnoteReference"/>
          <w:rFonts w:cs="Arial"/>
          <w:szCs w:val="24"/>
        </w:rPr>
        <w:footnoteReference w:id="19"/>
      </w:r>
      <w:r w:rsidR="000760F6" w:rsidRPr="00D14A7B">
        <w:rPr>
          <w:rFonts w:cs="Arial"/>
          <w:szCs w:val="24"/>
        </w:rPr>
        <w:t xml:space="preserve"> The fuel is sold in units </w:t>
      </w:r>
      <w:r w:rsidR="00CF0187" w:rsidRPr="00D14A7B">
        <w:rPr>
          <w:rFonts w:cs="Arial"/>
          <w:szCs w:val="24"/>
        </w:rPr>
        <w:t>that have</w:t>
      </w:r>
      <w:r w:rsidR="000760F6" w:rsidRPr="00D14A7B">
        <w:rPr>
          <w:rFonts w:cs="Arial"/>
          <w:szCs w:val="24"/>
        </w:rPr>
        <w:t xml:space="preserve"> an energy content identical to that </w:t>
      </w:r>
      <w:r w:rsidR="00CF0187" w:rsidRPr="00D14A7B">
        <w:rPr>
          <w:rFonts w:cs="Arial"/>
          <w:szCs w:val="24"/>
        </w:rPr>
        <w:t>of</w:t>
      </w:r>
      <w:r w:rsidR="000760F6" w:rsidRPr="00D14A7B">
        <w:rPr>
          <w:rFonts w:cs="Arial"/>
          <w:szCs w:val="24"/>
        </w:rPr>
        <w:t xml:space="preserve"> a gallon of gasoline </w:t>
      </w:r>
      <w:r w:rsidR="00CF0187" w:rsidRPr="00D14A7B">
        <w:rPr>
          <w:rFonts w:cs="Arial"/>
          <w:szCs w:val="24"/>
        </w:rPr>
        <w:t>and</w:t>
      </w:r>
      <w:r w:rsidR="000760F6" w:rsidRPr="00D14A7B">
        <w:rPr>
          <w:rFonts w:cs="Arial"/>
          <w:szCs w:val="24"/>
        </w:rPr>
        <w:t xml:space="preserve"> are appropriately named gasoline gallon equivalents (GGEs). A GGE of CNG is 126.67 cubic feet at standard temperature and pressure</w:t>
      </w:r>
      <w:r w:rsidR="00CF0187" w:rsidRPr="00D14A7B">
        <w:rPr>
          <w:rFonts w:cs="Arial"/>
          <w:szCs w:val="24"/>
        </w:rPr>
        <w:t>,</w:t>
      </w:r>
      <w:r w:rsidR="000760F6" w:rsidRPr="00D14A7B">
        <w:rPr>
          <w:rFonts w:cs="Arial"/>
          <w:szCs w:val="24"/>
        </w:rPr>
        <w:t xml:space="preserve"> weighs approximately 5.66 pounds</w:t>
      </w:r>
      <w:r w:rsidR="00CF0187" w:rsidRPr="00D14A7B">
        <w:rPr>
          <w:rFonts w:cs="Arial"/>
          <w:szCs w:val="24"/>
        </w:rPr>
        <w:t>,</w:t>
      </w:r>
      <w:r w:rsidR="00085E68" w:rsidRPr="00D14A7B">
        <w:rPr>
          <w:rFonts w:cs="Arial"/>
          <w:szCs w:val="24"/>
        </w:rPr>
        <w:t xml:space="preserve"> and </w:t>
      </w:r>
      <w:r w:rsidR="00CF0187" w:rsidRPr="00D14A7B">
        <w:rPr>
          <w:rFonts w:cs="Arial"/>
          <w:szCs w:val="24"/>
        </w:rPr>
        <w:t xml:space="preserve">when </w:t>
      </w:r>
      <w:r w:rsidR="00085E68" w:rsidRPr="00D14A7B">
        <w:rPr>
          <w:rFonts w:cs="Arial"/>
          <w:szCs w:val="24"/>
        </w:rPr>
        <w:t>pressurized at 3,600 PSI takes up a volume of 3.82 gallons</w:t>
      </w:r>
      <w:r w:rsidR="000760F6" w:rsidRPr="00D14A7B">
        <w:rPr>
          <w:rFonts w:cs="Arial"/>
          <w:szCs w:val="24"/>
        </w:rPr>
        <w:t xml:space="preserve">. </w:t>
      </w:r>
    </w:p>
    <w:p w:rsidR="001E6B9E" w:rsidRPr="008720F3" w:rsidRDefault="001E6B9E" w:rsidP="00D14A7B">
      <w:pPr>
        <w:pStyle w:val="Heading3"/>
      </w:pPr>
      <w:bookmarkStart w:id="11" w:name="_Toc352854169"/>
      <w:r w:rsidRPr="008720F3">
        <w:t>Liquefied Natural Gas</w:t>
      </w:r>
      <w:bookmarkEnd w:id="11"/>
    </w:p>
    <w:p w:rsidR="008D4935" w:rsidRPr="00D14A7B" w:rsidRDefault="00BE5369" w:rsidP="008D4935">
      <w:pPr>
        <w:rPr>
          <w:rFonts w:cs="Arial"/>
          <w:szCs w:val="24"/>
        </w:rPr>
      </w:pPr>
      <w:r w:rsidRPr="00D14A7B">
        <w:rPr>
          <w:rFonts w:cs="Arial"/>
          <w:szCs w:val="24"/>
        </w:rPr>
        <w:t xml:space="preserve">LNG-powered vehicles are more expensive than CNG vehicles and are usually medium- or </w:t>
      </w:r>
      <w:r w:rsidR="008D4935" w:rsidRPr="00D14A7B">
        <w:rPr>
          <w:rFonts w:cs="Arial"/>
          <w:szCs w:val="24"/>
        </w:rPr>
        <w:t>heavy-duty vehicles</w:t>
      </w:r>
      <w:r w:rsidRPr="00D14A7B">
        <w:rPr>
          <w:rFonts w:cs="Arial"/>
          <w:szCs w:val="24"/>
        </w:rPr>
        <w:t xml:space="preserve"> used to travel long distances</w:t>
      </w:r>
      <w:r w:rsidR="008D4935" w:rsidRPr="00D14A7B">
        <w:rPr>
          <w:rFonts w:cs="Arial"/>
          <w:szCs w:val="24"/>
        </w:rPr>
        <w:t xml:space="preserve">. Vehicles powered by LNG require a specialized and expensive tank </w:t>
      </w:r>
      <w:r w:rsidRPr="00D14A7B">
        <w:rPr>
          <w:rFonts w:cs="Arial"/>
          <w:szCs w:val="24"/>
        </w:rPr>
        <w:t>(double-walled, vacuum-insulated) in order to keep the fuel cold. Because LNG is kept at high pressure and low temperature, it is more energy dense than CNG; one GGE of LNG is 1.5 gallons.</w:t>
      </w:r>
      <w:r w:rsidRPr="00D14A7B">
        <w:rPr>
          <w:rStyle w:val="FootnoteReference"/>
          <w:rFonts w:cs="Arial"/>
          <w:szCs w:val="24"/>
        </w:rPr>
        <w:footnoteReference w:id="20"/>
      </w:r>
    </w:p>
    <w:p w:rsidR="004847F1" w:rsidRPr="008720F3" w:rsidRDefault="004847F1" w:rsidP="00D14A7B">
      <w:pPr>
        <w:pStyle w:val="Heading2"/>
      </w:pPr>
      <w:bookmarkStart w:id="12" w:name="_Toc352854170"/>
      <w:r w:rsidRPr="008720F3">
        <w:lastRenderedPageBreak/>
        <w:t>Electricity</w:t>
      </w:r>
      <w:bookmarkEnd w:id="12"/>
    </w:p>
    <w:p w:rsidR="005C3EC9" w:rsidRPr="00D14A7B" w:rsidRDefault="00157B7D" w:rsidP="00157B7D">
      <w:pPr>
        <w:rPr>
          <w:rFonts w:cs="Arial"/>
          <w:szCs w:val="24"/>
        </w:rPr>
      </w:pPr>
      <w:r w:rsidRPr="00D14A7B">
        <w:rPr>
          <w:rFonts w:cs="Arial"/>
          <w:szCs w:val="24"/>
        </w:rPr>
        <w:t>Electricity can be produced using a wide variety of feedstock</w:t>
      </w:r>
      <w:r w:rsidR="00086E2C" w:rsidRPr="00D14A7B">
        <w:rPr>
          <w:rFonts w:cs="Arial"/>
          <w:szCs w:val="24"/>
        </w:rPr>
        <w:t>s (e.g.</w:t>
      </w:r>
      <w:r w:rsidR="00BB22D2" w:rsidRPr="00D14A7B">
        <w:rPr>
          <w:rFonts w:cs="Arial"/>
          <w:szCs w:val="24"/>
        </w:rPr>
        <w:t>,</w:t>
      </w:r>
      <w:r w:rsidR="00086E2C" w:rsidRPr="00D14A7B">
        <w:rPr>
          <w:rFonts w:cs="Arial"/>
          <w:szCs w:val="24"/>
        </w:rPr>
        <w:t xml:space="preserve"> oil, coal, natural gas, nuclear, hydroelectric, wind, and solar)</w:t>
      </w:r>
      <w:r w:rsidRPr="00D14A7B">
        <w:rPr>
          <w:rFonts w:cs="Arial"/>
          <w:szCs w:val="24"/>
        </w:rPr>
        <w:t>.</w:t>
      </w:r>
      <w:r w:rsidR="00086E2C" w:rsidRPr="00D14A7B">
        <w:rPr>
          <w:rFonts w:cs="Arial"/>
          <w:szCs w:val="24"/>
        </w:rPr>
        <w:t xml:space="preserve"> </w:t>
      </w:r>
      <w:r w:rsidR="00A97D59" w:rsidRPr="00D14A7B">
        <w:rPr>
          <w:rFonts w:cs="Arial"/>
          <w:szCs w:val="24"/>
        </w:rPr>
        <w:t>C</w:t>
      </w:r>
      <w:r w:rsidR="00E4264C" w:rsidRPr="00D14A7B">
        <w:rPr>
          <w:rFonts w:cs="Arial"/>
          <w:szCs w:val="24"/>
        </w:rPr>
        <w:t>onventional motor vehicles have batteries and require electricity to operate</w:t>
      </w:r>
      <w:r w:rsidR="00525565" w:rsidRPr="00D14A7B">
        <w:rPr>
          <w:rFonts w:cs="Arial"/>
          <w:szCs w:val="24"/>
        </w:rPr>
        <w:t>;</w:t>
      </w:r>
      <w:r w:rsidR="00A97D59" w:rsidRPr="00D14A7B">
        <w:rPr>
          <w:rFonts w:cs="Arial"/>
          <w:szCs w:val="24"/>
        </w:rPr>
        <w:t xml:space="preserve"> in the 1990s</w:t>
      </w:r>
      <w:r w:rsidR="00FC05CE" w:rsidRPr="00D14A7B">
        <w:rPr>
          <w:rFonts w:cs="Arial"/>
          <w:szCs w:val="24"/>
        </w:rPr>
        <w:t>,</w:t>
      </w:r>
      <w:r w:rsidR="00A97D59" w:rsidRPr="00D14A7B">
        <w:rPr>
          <w:rFonts w:cs="Arial"/>
          <w:szCs w:val="24"/>
        </w:rPr>
        <w:t xml:space="preserve"> automakers began developing hybrid electric vehicles (HEVs)</w:t>
      </w:r>
      <w:r w:rsidR="00E4264C" w:rsidRPr="00D14A7B">
        <w:rPr>
          <w:rFonts w:cs="Arial"/>
          <w:szCs w:val="24"/>
        </w:rPr>
        <w:t xml:space="preserve"> </w:t>
      </w:r>
      <w:r w:rsidR="00A97D59" w:rsidRPr="00D14A7B">
        <w:rPr>
          <w:rFonts w:cs="Arial"/>
          <w:szCs w:val="24"/>
        </w:rPr>
        <w:t xml:space="preserve">which use an electric motor to augment the vehicle’s internal combustion engine (ICE). More recently, however, automakers have developed </w:t>
      </w:r>
      <w:r w:rsidR="005C3EC9" w:rsidRPr="00D14A7B">
        <w:rPr>
          <w:rFonts w:cs="Arial"/>
          <w:szCs w:val="24"/>
        </w:rPr>
        <w:t>PEVs</w:t>
      </w:r>
      <w:r w:rsidR="00A97D59" w:rsidRPr="00D14A7B">
        <w:rPr>
          <w:rFonts w:cs="Arial"/>
          <w:szCs w:val="24"/>
        </w:rPr>
        <w:t>, which</w:t>
      </w:r>
      <w:r w:rsidR="00086E2C" w:rsidRPr="00D14A7B">
        <w:rPr>
          <w:rFonts w:cs="Arial"/>
          <w:szCs w:val="24"/>
        </w:rPr>
        <w:t xml:space="preserve"> </w:t>
      </w:r>
      <w:r w:rsidR="00C60EB9" w:rsidRPr="00D14A7B">
        <w:rPr>
          <w:rFonts w:cs="Arial"/>
          <w:szCs w:val="24"/>
        </w:rPr>
        <w:t xml:space="preserve">are </w:t>
      </w:r>
      <w:r w:rsidR="00A97D59" w:rsidRPr="00D14A7B">
        <w:rPr>
          <w:rFonts w:cs="Arial"/>
          <w:szCs w:val="24"/>
        </w:rPr>
        <w:t xml:space="preserve">more dependent on electric motors for propulsion and are </w:t>
      </w:r>
      <w:r w:rsidR="00C60EB9" w:rsidRPr="00D14A7B">
        <w:rPr>
          <w:rFonts w:cs="Arial"/>
          <w:szCs w:val="24"/>
        </w:rPr>
        <w:t xml:space="preserve">able to connect to the electric grid to charge their large batteries. </w:t>
      </w:r>
    </w:p>
    <w:p w:rsidR="005E4B65" w:rsidRPr="00D14A7B" w:rsidRDefault="005C3EC9" w:rsidP="00157B7D">
      <w:pPr>
        <w:rPr>
          <w:rFonts w:cs="Arial"/>
          <w:szCs w:val="24"/>
        </w:rPr>
      </w:pPr>
      <w:r w:rsidRPr="00D14A7B">
        <w:rPr>
          <w:rFonts w:cs="Arial"/>
          <w:szCs w:val="24"/>
        </w:rPr>
        <w:t>In this paper, PEV is a b</w:t>
      </w:r>
      <w:r w:rsidR="003B64BF">
        <w:rPr>
          <w:rFonts w:cs="Arial"/>
          <w:szCs w:val="24"/>
        </w:rPr>
        <w:t>road term that encompasses both BEVs and PHEVs</w:t>
      </w:r>
      <w:r w:rsidRPr="00D14A7B">
        <w:rPr>
          <w:rFonts w:cs="Arial"/>
          <w:szCs w:val="24"/>
        </w:rPr>
        <w:t>. BEVs operate solely on battery power and cannot use other fuels; popular models in the United States include</w:t>
      </w:r>
      <w:r w:rsidR="00086E2C" w:rsidRPr="00D14A7B">
        <w:rPr>
          <w:rFonts w:cs="Arial"/>
          <w:szCs w:val="24"/>
        </w:rPr>
        <w:t xml:space="preserve"> </w:t>
      </w:r>
      <w:r w:rsidRPr="00D14A7B">
        <w:rPr>
          <w:rFonts w:cs="Arial"/>
          <w:szCs w:val="24"/>
        </w:rPr>
        <w:t xml:space="preserve">the </w:t>
      </w:r>
      <w:r w:rsidR="00086E2C" w:rsidRPr="00D14A7B">
        <w:rPr>
          <w:rFonts w:cs="Arial"/>
          <w:szCs w:val="24"/>
        </w:rPr>
        <w:t xml:space="preserve">Nissan Leaf, </w:t>
      </w:r>
      <w:r w:rsidRPr="00D14A7B">
        <w:rPr>
          <w:rFonts w:cs="Arial"/>
          <w:szCs w:val="24"/>
        </w:rPr>
        <w:t>Tesla Model S</w:t>
      </w:r>
      <w:r w:rsidR="00310C26" w:rsidRPr="00D14A7B">
        <w:rPr>
          <w:rFonts w:cs="Arial"/>
          <w:szCs w:val="24"/>
        </w:rPr>
        <w:t>, and Ford Focus Electric. PHEVs</w:t>
      </w:r>
      <w:r w:rsidRPr="00D14A7B">
        <w:rPr>
          <w:rFonts w:cs="Arial"/>
          <w:szCs w:val="24"/>
        </w:rPr>
        <w:t>,</w:t>
      </w:r>
      <w:r w:rsidR="00086E2C" w:rsidRPr="00D14A7B">
        <w:rPr>
          <w:rFonts w:cs="Arial"/>
          <w:szCs w:val="24"/>
        </w:rPr>
        <w:t xml:space="preserve"> </w:t>
      </w:r>
      <w:r w:rsidRPr="00D14A7B">
        <w:rPr>
          <w:rFonts w:cs="Arial"/>
          <w:szCs w:val="24"/>
        </w:rPr>
        <w:t xml:space="preserve">like regular hybrids, can run off either </w:t>
      </w:r>
      <w:r w:rsidR="00525565" w:rsidRPr="00D14A7B">
        <w:rPr>
          <w:rFonts w:cs="Arial"/>
          <w:szCs w:val="24"/>
        </w:rPr>
        <w:t>a</w:t>
      </w:r>
      <w:r w:rsidRPr="00D14A7B">
        <w:rPr>
          <w:rFonts w:cs="Arial"/>
          <w:szCs w:val="24"/>
        </w:rPr>
        <w:t xml:space="preserve"> battery or a gasoline engine</w:t>
      </w:r>
      <w:r w:rsidR="00525565" w:rsidRPr="00D14A7B">
        <w:rPr>
          <w:rFonts w:cs="Arial"/>
          <w:szCs w:val="24"/>
        </w:rPr>
        <w:t>.</w:t>
      </w:r>
      <w:r w:rsidRPr="00D14A7B">
        <w:rPr>
          <w:rFonts w:cs="Arial"/>
          <w:szCs w:val="24"/>
        </w:rPr>
        <w:t xml:space="preserve"> </w:t>
      </w:r>
      <w:r w:rsidR="00525565" w:rsidRPr="00D14A7B">
        <w:rPr>
          <w:rFonts w:cs="Arial"/>
          <w:szCs w:val="24"/>
        </w:rPr>
        <w:t>H</w:t>
      </w:r>
      <w:r w:rsidRPr="00D14A7B">
        <w:rPr>
          <w:rFonts w:cs="Arial"/>
          <w:szCs w:val="24"/>
        </w:rPr>
        <w:t>owever, they have a much larger battery than hybrid vehicles, can run on electricity for longer periods of time, and are able to plug</w:t>
      </w:r>
      <w:r w:rsidR="00176CE0" w:rsidRPr="00D14A7B">
        <w:rPr>
          <w:rFonts w:cs="Arial"/>
          <w:szCs w:val="24"/>
        </w:rPr>
        <w:t xml:space="preserve"> in</w:t>
      </w:r>
      <w:r w:rsidRPr="00D14A7B">
        <w:rPr>
          <w:rFonts w:cs="Arial"/>
          <w:szCs w:val="24"/>
        </w:rPr>
        <w:t>to an outlet to charge. Popular models of PHEV include the</w:t>
      </w:r>
      <w:r w:rsidR="003B64BF">
        <w:rPr>
          <w:rFonts w:cs="Arial"/>
          <w:szCs w:val="24"/>
        </w:rPr>
        <w:t xml:space="preserve"> Chevrolet Volt,</w:t>
      </w:r>
      <w:r w:rsidRPr="00D14A7B">
        <w:rPr>
          <w:rFonts w:cs="Arial"/>
          <w:szCs w:val="24"/>
        </w:rPr>
        <w:t xml:space="preserve"> Prius Plug-in and Ford C-MAX</w:t>
      </w:r>
      <w:r w:rsidR="003B64BF">
        <w:rPr>
          <w:rFonts w:cs="Arial"/>
          <w:szCs w:val="24"/>
        </w:rPr>
        <w:t xml:space="preserve"> Energi.</w:t>
      </w:r>
    </w:p>
    <w:p w:rsidR="006A63AF" w:rsidRPr="00D14A7B" w:rsidRDefault="005E4B65" w:rsidP="00157B7D">
      <w:pPr>
        <w:rPr>
          <w:rFonts w:cs="Arial"/>
          <w:szCs w:val="24"/>
        </w:rPr>
      </w:pPr>
      <w:r w:rsidRPr="00D14A7B">
        <w:rPr>
          <w:rFonts w:cs="Arial"/>
          <w:szCs w:val="24"/>
        </w:rPr>
        <w:t>While driving, vehicles dependent solely on electricity create no tailpipe emissions</w:t>
      </w:r>
      <w:r w:rsidR="00525565" w:rsidRPr="00D14A7B">
        <w:rPr>
          <w:rFonts w:cs="Arial"/>
          <w:szCs w:val="24"/>
        </w:rPr>
        <w:t>.</w:t>
      </w:r>
      <w:r w:rsidR="006A63AF" w:rsidRPr="00D14A7B">
        <w:rPr>
          <w:rFonts w:cs="Arial"/>
          <w:szCs w:val="24"/>
        </w:rPr>
        <w:t xml:space="preserve"> </w:t>
      </w:r>
      <w:r w:rsidR="00E274F9" w:rsidRPr="00D14A7B">
        <w:rPr>
          <w:rFonts w:cs="Arial"/>
          <w:szCs w:val="24"/>
        </w:rPr>
        <w:t xml:space="preserve">From a lifecycle “well-to-wheels” perspective, however, </w:t>
      </w:r>
      <w:r w:rsidR="006A63AF" w:rsidRPr="00D14A7B">
        <w:rPr>
          <w:rFonts w:cs="Arial"/>
          <w:szCs w:val="24"/>
        </w:rPr>
        <w:t xml:space="preserve">generation of </w:t>
      </w:r>
      <w:r w:rsidR="00E274F9" w:rsidRPr="00D14A7B">
        <w:rPr>
          <w:rFonts w:cs="Arial"/>
          <w:szCs w:val="24"/>
        </w:rPr>
        <w:t xml:space="preserve">the </w:t>
      </w:r>
      <w:r w:rsidR="006A63AF" w:rsidRPr="00D14A7B">
        <w:rPr>
          <w:rFonts w:cs="Arial"/>
          <w:szCs w:val="24"/>
        </w:rPr>
        <w:t>electricity</w:t>
      </w:r>
      <w:r w:rsidR="00E274F9" w:rsidRPr="00D14A7B">
        <w:rPr>
          <w:rFonts w:cs="Arial"/>
          <w:szCs w:val="24"/>
        </w:rPr>
        <w:t xml:space="preserve"> used to power electric vehicles</w:t>
      </w:r>
      <w:r w:rsidR="006A63AF" w:rsidRPr="00D14A7B">
        <w:rPr>
          <w:rFonts w:cs="Arial"/>
          <w:szCs w:val="24"/>
        </w:rPr>
        <w:t xml:space="preserve"> can be quite energy intensive and may still create significant pollution</w:t>
      </w:r>
      <w:r w:rsidR="00525565" w:rsidRPr="00D14A7B">
        <w:rPr>
          <w:rFonts w:cs="Arial"/>
          <w:szCs w:val="24"/>
        </w:rPr>
        <w:t>,</w:t>
      </w:r>
      <w:r w:rsidR="006A63AF" w:rsidRPr="00D14A7B">
        <w:rPr>
          <w:rFonts w:cs="Arial"/>
          <w:szCs w:val="24"/>
        </w:rPr>
        <w:t xml:space="preserve"> depending</w:t>
      </w:r>
      <w:r w:rsidR="00525565" w:rsidRPr="00D14A7B">
        <w:rPr>
          <w:rFonts w:cs="Arial"/>
          <w:szCs w:val="24"/>
        </w:rPr>
        <w:t xml:space="preserve"> on</w:t>
      </w:r>
      <w:r w:rsidR="006A63AF" w:rsidRPr="00D14A7B">
        <w:rPr>
          <w:rFonts w:cs="Arial"/>
          <w:szCs w:val="24"/>
        </w:rPr>
        <w:t xml:space="preserve"> wh</w:t>
      </w:r>
      <w:r w:rsidR="00C56DA1" w:rsidRPr="00D14A7B">
        <w:rPr>
          <w:rFonts w:cs="Arial"/>
          <w:szCs w:val="24"/>
        </w:rPr>
        <w:t>at kinds of power plants were used</w:t>
      </w:r>
      <w:r w:rsidR="006A63AF" w:rsidRPr="00D14A7B">
        <w:rPr>
          <w:rFonts w:cs="Arial"/>
          <w:szCs w:val="24"/>
        </w:rPr>
        <w:t xml:space="preserve">. </w:t>
      </w:r>
      <w:r w:rsidR="00C56DA1" w:rsidRPr="00D14A7B">
        <w:rPr>
          <w:rFonts w:cs="Arial"/>
          <w:szCs w:val="24"/>
        </w:rPr>
        <w:t xml:space="preserve">Most regions in </w:t>
      </w:r>
      <w:r w:rsidR="0048418B" w:rsidRPr="00D14A7B">
        <w:rPr>
          <w:rFonts w:cs="Arial"/>
          <w:szCs w:val="24"/>
        </w:rPr>
        <w:t xml:space="preserve">the </w:t>
      </w:r>
      <w:r w:rsidR="00C56DA1" w:rsidRPr="00D14A7B">
        <w:rPr>
          <w:rFonts w:cs="Arial"/>
          <w:szCs w:val="24"/>
        </w:rPr>
        <w:t>United States</w:t>
      </w:r>
      <w:r w:rsidR="006A63AF" w:rsidRPr="00D14A7B">
        <w:rPr>
          <w:rFonts w:cs="Arial"/>
          <w:szCs w:val="24"/>
        </w:rPr>
        <w:t xml:space="preserve"> </w:t>
      </w:r>
      <w:r w:rsidR="00C56DA1" w:rsidRPr="00D14A7B">
        <w:rPr>
          <w:rFonts w:cs="Arial"/>
          <w:szCs w:val="24"/>
        </w:rPr>
        <w:t xml:space="preserve">produce electricity </w:t>
      </w:r>
      <w:r w:rsidR="0048418B" w:rsidRPr="00D14A7B">
        <w:rPr>
          <w:rFonts w:cs="Arial"/>
          <w:szCs w:val="24"/>
        </w:rPr>
        <w:t>for the</w:t>
      </w:r>
      <w:r w:rsidR="00C56DA1" w:rsidRPr="00D14A7B">
        <w:rPr>
          <w:rFonts w:cs="Arial"/>
          <w:szCs w:val="24"/>
        </w:rPr>
        <w:t xml:space="preserve"> </w:t>
      </w:r>
      <w:r w:rsidR="00176CE0" w:rsidRPr="00D14A7B">
        <w:rPr>
          <w:rFonts w:cs="Arial"/>
          <w:szCs w:val="24"/>
        </w:rPr>
        <w:t xml:space="preserve">grid such </w:t>
      </w:r>
      <w:r w:rsidR="0048418B" w:rsidRPr="00D14A7B">
        <w:rPr>
          <w:rFonts w:cs="Arial"/>
          <w:szCs w:val="24"/>
        </w:rPr>
        <w:t xml:space="preserve">that </w:t>
      </w:r>
      <w:r w:rsidR="00176CE0" w:rsidRPr="00D14A7B">
        <w:rPr>
          <w:rFonts w:cs="Arial"/>
          <w:szCs w:val="24"/>
        </w:rPr>
        <w:t>the use of an electric vehicle</w:t>
      </w:r>
      <w:r w:rsidR="00C56DA1" w:rsidRPr="00D14A7B">
        <w:rPr>
          <w:rFonts w:cs="Arial"/>
          <w:szCs w:val="24"/>
        </w:rPr>
        <w:t xml:space="preserve"> </w:t>
      </w:r>
      <w:r w:rsidR="00E274F9" w:rsidRPr="00D14A7B">
        <w:rPr>
          <w:rFonts w:cs="Arial"/>
          <w:szCs w:val="24"/>
        </w:rPr>
        <w:t>would result</w:t>
      </w:r>
      <w:r w:rsidR="00176CE0" w:rsidRPr="00D14A7B">
        <w:rPr>
          <w:rFonts w:cs="Arial"/>
          <w:szCs w:val="24"/>
        </w:rPr>
        <w:t xml:space="preserve"> in </w:t>
      </w:r>
      <w:r w:rsidR="00C56DA1" w:rsidRPr="00D14A7B">
        <w:rPr>
          <w:rFonts w:cs="Arial"/>
          <w:szCs w:val="24"/>
        </w:rPr>
        <w:t xml:space="preserve">fewer GHG emissions </w:t>
      </w:r>
      <w:r w:rsidR="00176CE0" w:rsidRPr="00D14A7B">
        <w:rPr>
          <w:rFonts w:cs="Arial"/>
          <w:szCs w:val="24"/>
        </w:rPr>
        <w:t xml:space="preserve">per mile traveled </w:t>
      </w:r>
      <w:r w:rsidR="00C56DA1" w:rsidRPr="00D14A7B">
        <w:rPr>
          <w:rFonts w:cs="Arial"/>
          <w:szCs w:val="24"/>
        </w:rPr>
        <w:t xml:space="preserve">than </w:t>
      </w:r>
      <w:r w:rsidR="00176CE0" w:rsidRPr="00D14A7B">
        <w:rPr>
          <w:rFonts w:cs="Arial"/>
          <w:szCs w:val="24"/>
        </w:rPr>
        <w:t xml:space="preserve">would be produced using </w:t>
      </w:r>
      <w:r w:rsidR="00C56DA1" w:rsidRPr="00D14A7B">
        <w:rPr>
          <w:rFonts w:cs="Arial"/>
          <w:szCs w:val="24"/>
        </w:rPr>
        <w:t xml:space="preserve">a similar </w:t>
      </w:r>
      <w:r w:rsidR="00176CE0" w:rsidRPr="00D14A7B">
        <w:rPr>
          <w:rFonts w:cs="Arial"/>
          <w:szCs w:val="24"/>
        </w:rPr>
        <w:t xml:space="preserve">gasoline-powered </w:t>
      </w:r>
      <w:r w:rsidR="00C56DA1" w:rsidRPr="00D14A7B">
        <w:rPr>
          <w:rFonts w:cs="Arial"/>
          <w:szCs w:val="24"/>
        </w:rPr>
        <w:t xml:space="preserve">vehicle. In some areas where hydroelectric and nuclear power </w:t>
      </w:r>
      <w:r w:rsidR="0048418B" w:rsidRPr="00D14A7B">
        <w:rPr>
          <w:rFonts w:cs="Arial"/>
          <w:szCs w:val="24"/>
        </w:rPr>
        <w:t xml:space="preserve">comprise </w:t>
      </w:r>
      <w:r w:rsidR="00C56DA1" w:rsidRPr="00D14A7B">
        <w:rPr>
          <w:rFonts w:cs="Arial"/>
          <w:szCs w:val="24"/>
        </w:rPr>
        <w:t>a large share of grid capacity, electric vehicles have significantly lower emissions</w:t>
      </w:r>
      <w:r w:rsidR="0048418B" w:rsidRPr="00D14A7B">
        <w:rPr>
          <w:rFonts w:cs="Arial"/>
          <w:szCs w:val="24"/>
        </w:rPr>
        <w:t>; in</w:t>
      </w:r>
      <w:r w:rsidR="00C56DA1" w:rsidRPr="00D14A7B">
        <w:rPr>
          <w:rFonts w:cs="Arial"/>
          <w:szCs w:val="24"/>
        </w:rPr>
        <w:t xml:space="preserve"> other areas, such as the Midwest, which relies on coal-burning power plants for much of its electricity, electric vehicles and conventional vehicles are responsible for comparable GHG emissions.</w:t>
      </w:r>
    </w:p>
    <w:p w:rsidR="00C934A0" w:rsidRPr="00D14A7B" w:rsidRDefault="00C934A0" w:rsidP="00157B7D">
      <w:pPr>
        <w:rPr>
          <w:rFonts w:cs="Arial"/>
          <w:szCs w:val="24"/>
        </w:rPr>
      </w:pPr>
      <w:r w:rsidRPr="00D14A7B">
        <w:rPr>
          <w:rFonts w:cs="Arial"/>
          <w:szCs w:val="24"/>
        </w:rPr>
        <w:t>PEVs can use different types of systems to charge their batter</w:t>
      </w:r>
      <w:r w:rsidR="0048418B" w:rsidRPr="00D14A7B">
        <w:rPr>
          <w:rFonts w:cs="Arial"/>
          <w:szCs w:val="24"/>
        </w:rPr>
        <w:t>ies</w:t>
      </w:r>
      <w:r w:rsidR="00EC512E" w:rsidRPr="00D14A7B">
        <w:rPr>
          <w:rFonts w:cs="Arial"/>
          <w:szCs w:val="24"/>
        </w:rPr>
        <w:t>. In North America, a regular outlet delivers 120 volts; chargers designed for use in this type of outlet are known as Level 1 chargers. Depending on the size of the vehicle’s battery, a Level 1 cha</w:t>
      </w:r>
      <w:r w:rsidR="00596B19" w:rsidRPr="00D14A7B">
        <w:rPr>
          <w:rFonts w:cs="Arial"/>
          <w:szCs w:val="24"/>
        </w:rPr>
        <w:t>rger could take between 8 and 20</w:t>
      </w:r>
      <w:r w:rsidR="00EC512E" w:rsidRPr="00D14A7B">
        <w:rPr>
          <w:rFonts w:cs="Arial"/>
          <w:szCs w:val="24"/>
        </w:rPr>
        <w:t xml:space="preserve"> hours to fully charge the battery.</w:t>
      </w:r>
      <w:r w:rsidR="00596B19" w:rsidRPr="00D14A7B">
        <w:rPr>
          <w:rStyle w:val="FootnoteReference"/>
          <w:rFonts w:cs="Arial"/>
          <w:szCs w:val="24"/>
        </w:rPr>
        <w:footnoteReference w:id="21"/>
      </w:r>
      <w:r w:rsidR="00EC512E" w:rsidRPr="00D14A7B">
        <w:rPr>
          <w:rFonts w:cs="Arial"/>
          <w:szCs w:val="24"/>
        </w:rPr>
        <w:t xml:space="preserve"> For lower charging times, </w:t>
      </w:r>
      <w:r w:rsidR="00601258" w:rsidRPr="00D14A7B">
        <w:rPr>
          <w:rFonts w:cs="Arial"/>
          <w:szCs w:val="24"/>
        </w:rPr>
        <w:t>a vehicle owner can use a Level 2 charger, requir</w:t>
      </w:r>
      <w:r w:rsidR="0048418B" w:rsidRPr="00D14A7B">
        <w:rPr>
          <w:rFonts w:cs="Arial"/>
          <w:szCs w:val="24"/>
        </w:rPr>
        <w:t>ing</w:t>
      </w:r>
      <w:r w:rsidR="00601258" w:rsidRPr="00D14A7B">
        <w:rPr>
          <w:rFonts w:cs="Arial"/>
          <w:szCs w:val="24"/>
        </w:rPr>
        <w:t xml:space="preserve"> a specialized 240</w:t>
      </w:r>
      <w:r w:rsidR="0048418B" w:rsidRPr="00D14A7B">
        <w:rPr>
          <w:rFonts w:cs="Arial"/>
          <w:szCs w:val="24"/>
        </w:rPr>
        <w:t>-</w:t>
      </w:r>
      <w:r w:rsidR="00601258" w:rsidRPr="00D14A7B">
        <w:rPr>
          <w:rFonts w:cs="Arial"/>
          <w:szCs w:val="24"/>
        </w:rPr>
        <w:t>volt outlet, much like th</w:t>
      </w:r>
      <w:r w:rsidR="00080915" w:rsidRPr="00D14A7B">
        <w:rPr>
          <w:rFonts w:cs="Arial"/>
          <w:szCs w:val="24"/>
        </w:rPr>
        <w:t>a</w:t>
      </w:r>
      <w:r w:rsidR="0048418B" w:rsidRPr="00D14A7B">
        <w:rPr>
          <w:rFonts w:cs="Arial"/>
          <w:szCs w:val="24"/>
        </w:rPr>
        <w:t>t</w:t>
      </w:r>
      <w:r w:rsidR="00601258" w:rsidRPr="00D14A7B">
        <w:rPr>
          <w:rFonts w:cs="Arial"/>
          <w:szCs w:val="24"/>
        </w:rPr>
        <w:t xml:space="preserve"> used for </w:t>
      </w:r>
      <w:r w:rsidR="00466D27" w:rsidRPr="00D14A7B">
        <w:rPr>
          <w:rFonts w:cs="Arial"/>
          <w:szCs w:val="24"/>
        </w:rPr>
        <w:t xml:space="preserve">most </w:t>
      </w:r>
      <w:r w:rsidR="00601258" w:rsidRPr="00D14A7B">
        <w:rPr>
          <w:rFonts w:cs="Arial"/>
          <w:szCs w:val="24"/>
        </w:rPr>
        <w:t xml:space="preserve">electric </w:t>
      </w:r>
      <w:r w:rsidR="00466D27" w:rsidRPr="00D14A7B">
        <w:rPr>
          <w:rFonts w:cs="Arial"/>
          <w:szCs w:val="24"/>
        </w:rPr>
        <w:t xml:space="preserve">clothes </w:t>
      </w:r>
      <w:r w:rsidR="00601258" w:rsidRPr="00D14A7B">
        <w:rPr>
          <w:rFonts w:cs="Arial"/>
          <w:szCs w:val="24"/>
        </w:rPr>
        <w:t>dryers. Most garages lack 240</w:t>
      </w:r>
      <w:r w:rsidR="0048418B" w:rsidRPr="00D14A7B">
        <w:rPr>
          <w:rFonts w:cs="Arial"/>
          <w:szCs w:val="24"/>
        </w:rPr>
        <w:t>-</w:t>
      </w:r>
      <w:r w:rsidR="00601258" w:rsidRPr="00D14A7B">
        <w:rPr>
          <w:rFonts w:cs="Arial"/>
          <w:szCs w:val="24"/>
        </w:rPr>
        <w:t>volt outlets</w:t>
      </w:r>
      <w:r w:rsidR="0048418B" w:rsidRPr="00D14A7B">
        <w:rPr>
          <w:rFonts w:cs="Arial"/>
          <w:szCs w:val="24"/>
        </w:rPr>
        <w:t>;</w:t>
      </w:r>
      <w:r w:rsidR="00601258" w:rsidRPr="00D14A7B">
        <w:rPr>
          <w:rFonts w:cs="Arial"/>
          <w:szCs w:val="24"/>
        </w:rPr>
        <w:t xml:space="preserve"> PEV owners will likely need to </w:t>
      </w:r>
      <w:r w:rsidR="0048418B" w:rsidRPr="00D14A7B">
        <w:rPr>
          <w:rFonts w:cs="Arial"/>
          <w:szCs w:val="24"/>
        </w:rPr>
        <w:t>have</w:t>
      </w:r>
      <w:r w:rsidR="00601258" w:rsidRPr="00D14A7B">
        <w:rPr>
          <w:rFonts w:cs="Arial"/>
          <w:szCs w:val="24"/>
        </w:rPr>
        <w:t xml:space="preserve"> one installed by an electrician in order to use a Level 2 charger.</w:t>
      </w:r>
    </w:p>
    <w:p w:rsidR="00650A2A" w:rsidRPr="00D14A7B" w:rsidRDefault="00650A2A" w:rsidP="00157B7D">
      <w:pPr>
        <w:rPr>
          <w:rFonts w:cs="Arial"/>
          <w:szCs w:val="24"/>
        </w:rPr>
      </w:pPr>
      <w:r w:rsidRPr="00D14A7B">
        <w:rPr>
          <w:rFonts w:cs="Arial"/>
          <w:szCs w:val="24"/>
        </w:rPr>
        <w:t xml:space="preserve">Even faster charging can be achieved through the use </w:t>
      </w:r>
      <w:r w:rsidR="0048418B" w:rsidRPr="00D14A7B">
        <w:rPr>
          <w:rFonts w:cs="Arial"/>
          <w:szCs w:val="24"/>
        </w:rPr>
        <w:t xml:space="preserve">of </w:t>
      </w:r>
      <w:r w:rsidR="003B64BF">
        <w:rPr>
          <w:rFonts w:cs="Arial"/>
          <w:szCs w:val="24"/>
        </w:rPr>
        <w:t>Level 2 DC</w:t>
      </w:r>
      <w:r w:rsidRPr="00D14A7B">
        <w:rPr>
          <w:rFonts w:cs="Arial"/>
          <w:szCs w:val="24"/>
        </w:rPr>
        <w:t xml:space="preserve"> systems</w:t>
      </w:r>
      <w:r w:rsidR="001520EA" w:rsidRPr="00D14A7B">
        <w:rPr>
          <w:rFonts w:cs="Arial"/>
          <w:szCs w:val="24"/>
        </w:rPr>
        <w:t xml:space="preserve"> (also referred to as DC Fast Charge</w:t>
      </w:r>
      <w:r w:rsidR="003B64BF">
        <w:rPr>
          <w:rFonts w:cs="Arial"/>
          <w:szCs w:val="24"/>
        </w:rPr>
        <w:t>, formerly referred to as Level 3 systems</w:t>
      </w:r>
      <w:r w:rsidR="001520EA" w:rsidRPr="00D14A7B">
        <w:rPr>
          <w:rFonts w:cs="Arial"/>
          <w:szCs w:val="24"/>
        </w:rPr>
        <w:t>)</w:t>
      </w:r>
      <w:r w:rsidRPr="00D14A7B">
        <w:rPr>
          <w:rFonts w:cs="Arial"/>
          <w:szCs w:val="24"/>
        </w:rPr>
        <w:t xml:space="preserve">, which rely on direct current rather than alternating current, and </w:t>
      </w:r>
      <w:r w:rsidR="001520EA" w:rsidRPr="00D14A7B">
        <w:rPr>
          <w:rFonts w:cs="Arial"/>
          <w:szCs w:val="24"/>
        </w:rPr>
        <w:t>are</w:t>
      </w:r>
      <w:r w:rsidRPr="00D14A7B">
        <w:rPr>
          <w:rFonts w:cs="Arial"/>
          <w:szCs w:val="24"/>
        </w:rPr>
        <w:t xml:space="preserve"> capable of charging a PEV in a half ho</w:t>
      </w:r>
      <w:r w:rsidR="003B64BF">
        <w:rPr>
          <w:rFonts w:cs="Arial"/>
          <w:szCs w:val="24"/>
        </w:rPr>
        <w:t>ur or less. Level 2 DC</w:t>
      </w:r>
      <w:r w:rsidRPr="00D14A7B">
        <w:rPr>
          <w:rFonts w:cs="Arial"/>
          <w:szCs w:val="24"/>
        </w:rPr>
        <w:t xml:space="preserve"> charging </w:t>
      </w:r>
      <w:r w:rsidR="00586BAB" w:rsidRPr="00D14A7B">
        <w:rPr>
          <w:rFonts w:cs="Arial"/>
          <w:szCs w:val="24"/>
        </w:rPr>
        <w:t xml:space="preserve">is not currently standardized; the primary competing standards are the CHAdeMO DC fast charger </w:t>
      </w:r>
      <w:r w:rsidR="003B64BF">
        <w:rPr>
          <w:rFonts w:cs="Arial"/>
          <w:szCs w:val="24"/>
        </w:rPr>
        <w:t>framework</w:t>
      </w:r>
      <w:r w:rsidR="00586BAB" w:rsidRPr="00D14A7B">
        <w:rPr>
          <w:rFonts w:cs="Arial"/>
          <w:szCs w:val="24"/>
        </w:rPr>
        <w:t xml:space="preserve"> and the SAE J1772 Combo standard. CHAdeMO is used by Japanese automakers Mitsubishi, Nissan, Subaru, and Toyota, while SAE </w:t>
      </w:r>
      <w:r w:rsidR="00F8074A" w:rsidRPr="00D14A7B">
        <w:rPr>
          <w:rFonts w:cs="Arial"/>
          <w:szCs w:val="24"/>
        </w:rPr>
        <w:t xml:space="preserve">J1772 </w:t>
      </w:r>
      <w:r w:rsidR="00586BAB" w:rsidRPr="00D14A7B">
        <w:rPr>
          <w:rFonts w:cs="Arial"/>
          <w:szCs w:val="24"/>
        </w:rPr>
        <w:t xml:space="preserve">Combo has support from U.S. </w:t>
      </w:r>
      <w:r w:rsidR="00F8074A" w:rsidRPr="00D14A7B">
        <w:rPr>
          <w:rFonts w:cs="Arial"/>
          <w:szCs w:val="24"/>
        </w:rPr>
        <w:t xml:space="preserve">(Chrysler, Ford, and General Motors) and European (Audi, </w:t>
      </w:r>
      <w:r w:rsidR="00586BAB" w:rsidRPr="00D14A7B">
        <w:rPr>
          <w:rFonts w:cs="Arial"/>
          <w:szCs w:val="24"/>
        </w:rPr>
        <w:t xml:space="preserve">BMW, </w:t>
      </w:r>
      <w:r w:rsidR="00F8074A" w:rsidRPr="00D14A7B">
        <w:rPr>
          <w:rFonts w:cs="Arial"/>
          <w:szCs w:val="24"/>
        </w:rPr>
        <w:t>Daimler</w:t>
      </w:r>
      <w:r w:rsidR="00586BAB" w:rsidRPr="00D14A7B">
        <w:rPr>
          <w:rFonts w:cs="Arial"/>
          <w:szCs w:val="24"/>
        </w:rPr>
        <w:t>,</w:t>
      </w:r>
      <w:r w:rsidR="00F8074A" w:rsidRPr="00D14A7B">
        <w:rPr>
          <w:rFonts w:cs="Arial"/>
          <w:szCs w:val="24"/>
        </w:rPr>
        <w:t xml:space="preserve"> Porsche,</w:t>
      </w:r>
      <w:r w:rsidR="00586BAB" w:rsidRPr="00D14A7B">
        <w:rPr>
          <w:rFonts w:cs="Arial"/>
          <w:szCs w:val="24"/>
        </w:rPr>
        <w:t xml:space="preserve"> and Volkswagen</w:t>
      </w:r>
      <w:r w:rsidR="00F8074A" w:rsidRPr="00D14A7B">
        <w:rPr>
          <w:rFonts w:cs="Arial"/>
          <w:szCs w:val="24"/>
        </w:rPr>
        <w:t>)</w:t>
      </w:r>
      <w:r w:rsidR="0048418B" w:rsidRPr="00D14A7B">
        <w:rPr>
          <w:rFonts w:cs="Arial"/>
          <w:szCs w:val="24"/>
        </w:rPr>
        <w:t xml:space="preserve"> automakers</w:t>
      </w:r>
      <w:r w:rsidR="00586BAB" w:rsidRPr="00D14A7B">
        <w:rPr>
          <w:rFonts w:cs="Arial"/>
          <w:szCs w:val="24"/>
        </w:rPr>
        <w:t>.</w:t>
      </w:r>
      <w:r w:rsidR="00F8074A" w:rsidRPr="00D14A7B">
        <w:rPr>
          <w:rStyle w:val="FootnoteReference"/>
          <w:rFonts w:cs="Arial"/>
          <w:szCs w:val="24"/>
        </w:rPr>
        <w:footnoteReference w:id="22"/>
      </w:r>
      <w:r w:rsidR="00F8074A" w:rsidRPr="00D14A7B">
        <w:rPr>
          <w:rFonts w:cs="Arial"/>
          <w:szCs w:val="24"/>
        </w:rPr>
        <w:t xml:space="preserve"> </w:t>
      </w:r>
      <w:r w:rsidR="00161AEF">
        <w:rPr>
          <w:rFonts w:cs="Arial"/>
          <w:szCs w:val="24"/>
        </w:rPr>
        <w:t xml:space="preserve">In the United States, </w:t>
      </w:r>
      <w:r w:rsidR="00161AEF">
        <w:rPr>
          <w:rFonts w:cs="Arial"/>
          <w:szCs w:val="24"/>
        </w:rPr>
        <w:lastRenderedPageBreak/>
        <w:t xml:space="preserve">CHAdeMO support is limited to Nissan and Mitsubishi—other automakers are using SAE J1772 Combo. </w:t>
      </w:r>
      <w:r w:rsidR="00F8074A" w:rsidRPr="00D14A7B">
        <w:rPr>
          <w:rFonts w:cs="Arial"/>
          <w:szCs w:val="24"/>
        </w:rPr>
        <w:t>A third competing standard is the Tesla Supercharger which is not compatible with either of the other systems. Le</w:t>
      </w:r>
      <w:r w:rsidR="003B64BF">
        <w:rPr>
          <w:rFonts w:cs="Arial"/>
          <w:szCs w:val="24"/>
        </w:rPr>
        <w:t>vel 2 DC</w:t>
      </w:r>
      <w:r w:rsidR="00F8074A" w:rsidRPr="00D14A7B">
        <w:rPr>
          <w:rFonts w:cs="Arial"/>
          <w:szCs w:val="24"/>
        </w:rPr>
        <w:t xml:space="preserve"> charging </w:t>
      </w:r>
      <w:r w:rsidR="001520EA" w:rsidRPr="00D14A7B">
        <w:rPr>
          <w:rFonts w:cs="Arial"/>
          <w:szCs w:val="24"/>
        </w:rPr>
        <w:t xml:space="preserve">uses </w:t>
      </w:r>
      <w:r w:rsidR="00F8074A" w:rsidRPr="00D14A7B">
        <w:rPr>
          <w:rFonts w:cs="Arial"/>
          <w:szCs w:val="24"/>
        </w:rPr>
        <w:t xml:space="preserve">a </w:t>
      </w:r>
      <w:r w:rsidR="001520EA" w:rsidRPr="00D14A7B">
        <w:rPr>
          <w:rFonts w:cs="Arial"/>
          <w:szCs w:val="24"/>
        </w:rPr>
        <w:t>power supply</w:t>
      </w:r>
      <w:r w:rsidR="00F8074A" w:rsidRPr="00D14A7B">
        <w:rPr>
          <w:rFonts w:cs="Arial"/>
          <w:szCs w:val="24"/>
        </w:rPr>
        <w:t xml:space="preserve"> of up to 500 volts, which could yield a power </w:t>
      </w:r>
      <w:r w:rsidR="0048418B" w:rsidRPr="00D14A7B">
        <w:rPr>
          <w:rFonts w:cs="Arial"/>
          <w:szCs w:val="24"/>
        </w:rPr>
        <w:t xml:space="preserve">of </w:t>
      </w:r>
      <w:r w:rsidR="00F8074A" w:rsidRPr="00D14A7B">
        <w:rPr>
          <w:rFonts w:cs="Arial"/>
          <w:szCs w:val="24"/>
        </w:rPr>
        <w:t>50 to 100 kilowatts (kW).</w:t>
      </w:r>
      <w:r w:rsidR="00F8074A" w:rsidRPr="00D14A7B">
        <w:rPr>
          <w:rStyle w:val="FootnoteReference"/>
          <w:rFonts w:cs="Arial"/>
          <w:szCs w:val="24"/>
        </w:rPr>
        <w:footnoteReference w:id="23"/>
      </w:r>
      <w:r w:rsidR="003B64BF">
        <w:rPr>
          <w:rFonts w:cs="Arial"/>
          <w:szCs w:val="24"/>
        </w:rPr>
        <w:t xml:space="preserve"> Even with Level 2 DC</w:t>
      </w:r>
      <w:r w:rsidR="00E86BAE" w:rsidRPr="00D14A7B">
        <w:rPr>
          <w:rFonts w:cs="Arial"/>
          <w:szCs w:val="24"/>
        </w:rPr>
        <w:t xml:space="preserve"> charging, PEVs will take substantially longer to charge than</w:t>
      </w:r>
      <w:r w:rsidR="00596B19" w:rsidRPr="00D14A7B">
        <w:rPr>
          <w:rFonts w:cs="Arial"/>
          <w:szCs w:val="24"/>
        </w:rPr>
        <w:t xml:space="preserve"> ICE vehicles</w:t>
      </w:r>
      <w:r w:rsidR="00466D27" w:rsidRPr="00D14A7B">
        <w:rPr>
          <w:rFonts w:cs="Arial"/>
          <w:szCs w:val="24"/>
        </w:rPr>
        <w:t xml:space="preserve"> take to refill</w:t>
      </w:r>
      <w:r w:rsidR="00596B19" w:rsidRPr="00D14A7B">
        <w:rPr>
          <w:rFonts w:cs="Arial"/>
          <w:szCs w:val="24"/>
        </w:rPr>
        <w:t>.</w:t>
      </w:r>
      <w:r w:rsidR="00596B19" w:rsidRPr="00D14A7B">
        <w:rPr>
          <w:rStyle w:val="FootnoteReference"/>
          <w:rFonts w:cs="Arial"/>
          <w:szCs w:val="24"/>
        </w:rPr>
        <w:footnoteReference w:id="24"/>
      </w:r>
    </w:p>
    <w:p w:rsidR="00F402C7" w:rsidRPr="00D14A7B" w:rsidRDefault="00F402C7" w:rsidP="00F402C7">
      <w:pPr>
        <w:pStyle w:val="NoSpacing"/>
        <w:spacing w:after="200" w:line="276" w:lineRule="auto"/>
        <w:rPr>
          <w:rFonts w:cs="Arial"/>
          <w:szCs w:val="24"/>
        </w:rPr>
      </w:pPr>
      <w:r w:rsidRPr="00D14A7B">
        <w:rPr>
          <w:rFonts w:cs="Arial"/>
          <w:szCs w:val="24"/>
        </w:rPr>
        <w:t xml:space="preserve">Early PEV owners </w:t>
      </w:r>
      <w:r w:rsidR="00F55718" w:rsidRPr="00D14A7B">
        <w:rPr>
          <w:rFonts w:cs="Arial"/>
          <w:szCs w:val="24"/>
        </w:rPr>
        <w:t xml:space="preserve">will </w:t>
      </w:r>
      <w:r w:rsidRPr="00D14A7B">
        <w:rPr>
          <w:rFonts w:cs="Arial"/>
          <w:szCs w:val="24"/>
        </w:rPr>
        <w:t xml:space="preserve">do the majority of their charging at home due to lack of public charging infrastructure and long recharging times. In many places, the expansion of charging infrastructure is viewed as a way to give PEV drivers greater range, confidence, and convenience. This has led to </w:t>
      </w:r>
      <w:r w:rsidR="0048418B" w:rsidRPr="00D14A7B">
        <w:rPr>
          <w:rFonts w:cs="Arial"/>
          <w:szCs w:val="24"/>
        </w:rPr>
        <w:t xml:space="preserve">the </w:t>
      </w:r>
      <w:r w:rsidRPr="00D14A7B">
        <w:rPr>
          <w:rFonts w:cs="Arial"/>
          <w:szCs w:val="24"/>
        </w:rPr>
        <w:t>rapid expansion of public charging networks in the United States and Europe in recent years.</w:t>
      </w:r>
    </w:p>
    <w:p w:rsidR="004847F1" w:rsidRPr="008720F3" w:rsidRDefault="004847F1" w:rsidP="00D14A7B">
      <w:pPr>
        <w:pStyle w:val="Heading2"/>
      </w:pPr>
      <w:bookmarkStart w:id="13" w:name="_Toc352854171"/>
      <w:r w:rsidRPr="008720F3">
        <w:t>Hydrogen</w:t>
      </w:r>
      <w:bookmarkEnd w:id="13"/>
    </w:p>
    <w:p w:rsidR="00FD1A97" w:rsidRPr="00D14A7B" w:rsidRDefault="00C232F0" w:rsidP="00C232F0">
      <w:pPr>
        <w:rPr>
          <w:rFonts w:cs="Arial"/>
          <w:szCs w:val="24"/>
        </w:rPr>
      </w:pPr>
      <w:r w:rsidRPr="00D14A7B">
        <w:rPr>
          <w:rFonts w:cs="Arial"/>
          <w:szCs w:val="24"/>
        </w:rPr>
        <w:t>Hydrogen (H</w:t>
      </w:r>
      <w:r w:rsidRPr="00D14A7B">
        <w:rPr>
          <w:rFonts w:cs="Arial"/>
          <w:szCs w:val="24"/>
          <w:vertAlign w:val="subscript"/>
        </w:rPr>
        <w:t>2</w:t>
      </w:r>
      <w:r w:rsidRPr="00D14A7B">
        <w:rPr>
          <w:rFonts w:cs="Arial"/>
          <w:szCs w:val="24"/>
        </w:rPr>
        <w:t>) is rarely found alone in nature, but can be produced from sources such as water (H</w:t>
      </w:r>
      <w:r w:rsidRPr="00D14A7B">
        <w:rPr>
          <w:rFonts w:cs="Arial"/>
          <w:szCs w:val="24"/>
          <w:vertAlign w:val="subscript"/>
        </w:rPr>
        <w:t>2</w:t>
      </w:r>
      <w:r w:rsidR="00310C26" w:rsidRPr="00D14A7B">
        <w:rPr>
          <w:rFonts w:cs="Arial"/>
          <w:szCs w:val="24"/>
        </w:rPr>
        <w:t>O), methane</w:t>
      </w:r>
      <w:r w:rsidRPr="00D14A7B">
        <w:rPr>
          <w:rFonts w:cs="Arial"/>
          <w:szCs w:val="24"/>
        </w:rPr>
        <w:t>, and other organic materials.</w:t>
      </w:r>
      <w:r w:rsidR="001E3E95" w:rsidRPr="00D14A7B">
        <w:rPr>
          <w:rFonts w:cs="Arial"/>
          <w:szCs w:val="24"/>
        </w:rPr>
        <w:t xml:space="preserve"> The majority of methane</w:t>
      </w:r>
      <w:r w:rsidR="00080915" w:rsidRPr="00D14A7B">
        <w:rPr>
          <w:rFonts w:cs="Arial"/>
          <w:szCs w:val="24"/>
        </w:rPr>
        <w:t xml:space="preserve"> is</w:t>
      </w:r>
      <w:r w:rsidR="001E3E95" w:rsidRPr="00D14A7B">
        <w:rPr>
          <w:rFonts w:cs="Arial"/>
          <w:szCs w:val="24"/>
        </w:rPr>
        <w:t xml:space="preserve"> currently produced</w:t>
      </w:r>
      <w:r w:rsidR="008F4A7C" w:rsidRPr="00D14A7B">
        <w:rPr>
          <w:rFonts w:cs="Arial"/>
          <w:szCs w:val="24"/>
        </w:rPr>
        <w:t xml:space="preserve"> </w:t>
      </w:r>
      <w:r w:rsidR="001E3E95" w:rsidRPr="00D14A7B">
        <w:rPr>
          <w:rFonts w:cs="Arial"/>
          <w:szCs w:val="24"/>
        </w:rPr>
        <w:t xml:space="preserve">through a process known as steam </w:t>
      </w:r>
      <w:r w:rsidR="002A409D" w:rsidRPr="00D14A7B">
        <w:rPr>
          <w:rFonts w:cs="Arial"/>
          <w:szCs w:val="24"/>
        </w:rPr>
        <w:t xml:space="preserve">methane </w:t>
      </w:r>
      <w:r w:rsidR="001E3E95" w:rsidRPr="00D14A7B">
        <w:rPr>
          <w:rFonts w:cs="Arial"/>
          <w:szCs w:val="24"/>
        </w:rPr>
        <w:t>reforming</w:t>
      </w:r>
      <w:r w:rsidR="002A409D" w:rsidRPr="00D14A7B">
        <w:rPr>
          <w:rFonts w:cs="Arial"/>
          <w:szCs w:val="24"/>
        </w:rPr>
        <w:t xml:space="preserve"> (SMR)</w:t>
      </w:r>
      <w:r w:rsidR="001E3E95" w:rsidRPr="00D14A7B">
        <w:rPr>
          <w:rFonts w:cs="Arial"/>
          <w:szCs w:val="24"/>
        </w:rPr>
        <w:t xml:space="preserve">, which uses natural gas to produce hydrogen. </w:t>
      </w:r>
      <w:r w:rsidR="00FD1A97" w:rsidRPr="00D14A7B">
        <w:rPr>
          <w:rFonts w:cs="Arial"/>
          <w:szCs w:val="24"/>
        </w:rPr>
        <w:t xml:space="preserve">In </w:t>
      </w:r>
      <w:r w:rsidR="002A409D" w:rsidRPr="00D14A7B">
        <w:rPr>
          <w:rFonts w:cs="Arial"/>
          <w:szCs w:val="24"/>
        </w:rPr>
        <w:t>SMR</w:t>
      </w:r>
      <w:r w:rsidR="00FD1A97" w:rsidRPr="00D14A7B">
        <w:rPr>
          <w:rFonts w:cs="Arial"/>
          <w:szCs w:val="24"/>
        </w:rPr>
        <w:t xml:space="preserve">, a processing device called a reformer </w:t>
      </w:r>
      <w:r w:rsidR="008F4A7C" w:rsidRPr="00D14A7B">
        <w:rPr>
          <w:rFonts w:cs="Arial"/>
          <w:szCs w:val="24"/>
        </w:rPr>
        <w:t xml:space="preserve">creates a catalytic reaction </w:t>
      </w:r>
      <w:r w:rsidR="00466D27" w:rsidRPr="00D14A7B">
        <w:rPr>
          <w:rFonts w:cs="Arial"/>
          <w:szCs w:val="24"/>
        </w:rPr>
        <w:t>between</w:t>
      </w:r>
      <w:r w:rsidR="00FD1A97" w:rsidRPr="00D14A7B">
        <w:rPr>
          <w:rFonts w:cs="Arial"/>
          <w:szCs w:val="24"/>
        </w:rPr>
        <w:t xml:space="preserve"> steam </w:t>
      </w:r>
      <w:r w:rsidR="002A409D" w:rsidRPr="00D14A7B">
        <w:rPr>
          <w:rFonts w:cs="Arial"/>
          <w:szCs w:val="24"/>
        </w:rPr>
        <w:t xml:space="preserve">and natural gas </w:t>
      </w:r>
      <w:r w:rsidR="00FD1A97" w:rsidRPr="00D14A7B">
        <w:rPr>
          <w:rFonts w:cs="Arial"/>
          <w:szCs w:val="24"/>
        </w:rPr>
        <w:t>at high temperature</w:t>
      </w:r>
      <w:r w:rsidR="002A409D" w:rsidRPr="00D14A7B">
        <w:rPr>
          <w:rFonts w:cs="Arial"/>
          <w:szCs w:val="24"/>
        </w:rPr>
        <w:t>s to produce hydrogen and carbon monoxide</w:t>
      </w:r>
      <w:r w:rsidR="00FD1A97" w:rsidRPr="00D14A7B">
        <w:rPr>
          <w:rFonts w:cs="Arial"/>
          <w:szCs w:val="24"/>
        </w:rPr>
        <w:t>.</w:t>
      </w:r>
      <w:r w:rsidR="002A409D" w:rsidRPr="00D14A7B">
        <w:rPr>
          <w:rFonts w:cs="Arial"/>
          <w:szCs w:val="24"/>
        </w:rPr>
        <w:t xml:space="preserve"> </w:t>
      </w:r>
      <w:r w:rsidR="008F4A7C" w:rsidRPr="00D14A7B">
        <w:rPr>
          <w:rFonts w:cs="Arial"/>
          <w:szCs w:val="24"/>
        </w:rPr>
        <w:t>C</w:t>
      </w:r>
      <w:r w:rsidR="002A409D" w:rsidRPr="00D14A7B">
        <w:rPr>
          <w:rFonts w:cs="Arial"/>
          <w:szCs w:val="24"/>
        </w:rPr>
        <w:t>arbon monoxide can be used in a secondary reaction with steam to produce additional hydrogen gas along with carbon dioxide.</w:t>
      </w:r>
    </w:p>
    <w:p w:rsidR="00FD1A97" w:rsidRPr="00D14A7B" w:rsidRDefault="00C56DA1" w:rsidP="00C232F0">
      <w:pPr>
        <w:rPr>
          <w:rFonts w:cs="Arial"/>
          <w:szCs w:val="24"/>
        </w:rPr>
      </w:pPr>
      <w:r w:rsidRPr="00D14A7B">
        <w:rPr>
          <w:rFonts w:cs="Arial"/>
          <w:szCs w:val="24"/>
        </w:rPr>
        <w:t>Hydrogen can also be produced</w:t>
      </w:r>
      <w:r w:rsidR="00FD1A97" w:rsidRPr="00D14A7B">
        <w:rPr>
          <w:rFonts w:cs="Arial"/>
          <w:szCs w:val="24"/>
        </w:rPr>
        <w:t xml:space="preserve"> through electrolysis, which uses electricity to split water molecules into hydrogen and oxygen molecules. Hydrogen produced by splitting water has the potential to be essentially emissions free if the electricity comes from renewable sources</w:t>
      </w:r>
      <w:r w:rsidR="00F25A6C" w:rsidRPr="00D14A7B">
        <w:rPr>
          <w:rFonts w:cs="Arial"/>
          <w:szCs w:val="24"/>
        </w:rPr>
        <w:t>.</w:t>
      </w:r>
      <w:r w:rsidR="00FD1A97" w:rsidRPr="00D14A7B">
        <w:rPr>
          <w:rFonts w:cs="Arial"/>
          <w:szCs w:val="24"/>
        </w:rPr>
        <w:t xml:space="preserve"> </w:t>
      </w:r>
      <w:r w:rsidR="00466D27" w:rsidRPr="00D14A7B">
        <w:rPr>
          <w:rFonts w:cs="Arial"/>
          <w:szCs w:val="24"/>
        </w:rPr>
        <w:t>E</w:t>
      </w:r>
      <w:r w:rsidR="00FD1A97" w:rsidRPr="00D14A7B">
        <w:rPr>
          <w:rFonts w:cs="Arial"/>
          <w:szCs w:val="24"/>
        </w:rPr>
        <w:t>lectrolysis is rarely used</w:t>
      </w:r>
      <w:r w:rsidR="00466D27" w:rsidRPr="00D14A7B">
        <w:rPr>
          <w:rFonts w:cs="Arial"/>
          <w:szCs w:val="24"/>
        </w:rPr>
        <w:t xml:space="preserve"> for hydrogen production</w:t>
      </w:r>
      <w:r w:rsidR="00FD1A97" w:rsidRPr="00D14A7B">
        <w:rPr>
          <w:rFonts w:cs="Arial"/>
          <w:szCs w:val="24"/>
        </w:rPr>
        <w:t>,</w:t>
      </w:r>
      <w:r w:rsidR="00466D27" w:rsidRPr="00D14A7B">
        <w:rPr>
          <w:rFonts w:cs="Arial"/>
          <w:szCs w:val="24"/>
        </w:rPr>
        <w:t xml:space="preserve"> however,</w:t>
      </w:r>
      <w:r w:rsidR="00FD1A97" w:rsidRPr="00D14A7B">
        <w:rPr>
          <w:rFonts w:cs="Arial"/>
          <w:szCs w:val="24"/>
        </w:rPr>
        <w:t xml:space="preserve"> because </w:t>
      </w:r>
      <w:r w:rsidR="00F25A6C" w:rsidRPr="00D14A7B">
        <w:rPr>
          <w:rFonts w:cs="Arial"/>
          <w:szCs w:val="24"/>
        </w:rPr>
        <w:t>hydrogen</w:t>
      </w:r>
      <w:r w:rsidR="00FD1A97" w:rsidRPr="00D14A7B">
        <w:rPr>
          <w:rFonts w:cs="Arial"/>
          <w:szCs w:val="24"/>
        </w:rPr>
        <w:t xml:space="preserve"> can be produced</w:t>
      </w:r>
      <w:r w:rsidR="00F25A6C" w:rsidRPr="00D14A7B">
        <w:rPr>
          <w:rFonts w:cs="Arial"/>
          <w:szCs w:val="24"/>
        </w:rPr>
        <w:t xml:space="preserve"> more economically</w:t>
      </w:r>
      <w:r w:rsidR="00FD1A97" w:rsidRPr="00D14A7B">
        <w:rPr>
          <w:rFonts w:cs="Arial"/>
          <w:szCs w:val="24"/>
        </w:rPr>
        <w:t xml:space="preserve"> </w:t>
      </w:r>
      <w:r w:rsidR="00466D27" w:rsidRPr="00D14A7B">
        <w:rPr>
          <w:rFonts w:cs="Arial"/>
          <w:szCs w:val="24"/>
        </w:rPr>
        <w:t>through the use of</w:t>
      </w:r>
      <w:r w:rsidR="00FD1A97" w:rsidRPr="00D14A7B">
        <w:rPr>
          <w:rFonts w:cs="Arial"/>
          <w:szCs w:val="24"/>
        </w:rPr>
        <w:t xml:space="preserve"> fossil fuels.</w:t>
      </w:r>
    </w:p>
    <w:p w:rsidR="00C232F0" w:rsidRPr="00D14A7B" w:rsidRDefault="001E3E95" w:rsidP="00C232F0">
      <w:pPr>
        <w:rPr>
          <w:rFonts w:cs="Arial"/>
          <w:szCs w:val="24"/>
        </w:rPr>
      </w:pPr>
      <w:r w:rsidRPr="00D14A7B">
        <w:rPr>
          <w:rFonts w:cs="Arial"/>
          <w:szCs w:val="24"/>
        </w:rPr>
        <w:t xml:space="preserve">Hydrogen is used in several industrial processes such as fertilizer production, food processing, metal treatment, and </w:t>
      </w:r>
      <w:r w:rsidR="00C648BF" w:rsidRPr="00D14A7B">
        <w:rPr>
          <w:rFonts w:cs="Arial"/>
          <w:szCs w:val="24"/>
        </w:rPr>
        <w:t xml:space="preserve">petroleum refining. </w:t>
      </w:r>
      <w:r w:rsidR="00F25A6C" w:rsidRPr="00D14A7B">
        <w:rPr>
          <w:rFonts w:cs="Arial"/>
          <w:szCs w:val="24"/>
        </w:rPr>
        <w:t>Alt</w:t>
      </w:r>
      <w:r w:rsidR="00C648BF" w:rsidRPr="00D14A7B">
        <w:rPr>
          <w:rFonts w:cs="Arial"/>
          <w:szCs w:val="24"/>
        </w:rPr>
        <w:t>hough hydrogen is not currently widely used as a transportation fuel,</w:t>
      </w:r>
      <w:r w:rsidRPr="00D14A7B">
        <w:rPr>
          <w:rFonts w:cs="Arial"/>
          <w:szCs w:val="24"/>
        </w:rPr>
        <w:t xml:space="preserve"> it can be used to power ve</w:t>
      </w:r>
      <w:r w:rsidR="00BB6ED3" w:rsidRPr="00D14A7B">
        <w:rPr>
          <w:rFonts w:cs="Arial"/>
          <w:szCs w:val="24"/>
        </w:rPr>
        <w:t xml:space="preserve">hicles using combustion engines </w:t>
      </w:r>
      <w:r w:rsidRPr="00D14A7B">
        <w:rPr>
          <w:rFonts w:cs="Arial"/>
          <w:szCs w:val="24"/>
        </w:rPr>
        <w:t xml:space="preserve">or </w:t>
      </w:r>
      <w:r w:rsidR="00C648BF" w:rsidRPr="00D14A7B">
        <w:rPr>
          <w:rFonts w:cs="Arial"/>
          <w:szCs w:val="24"/>
        </w:rPr>
        <w:t xml:space="preserve">a </w:t>
      </w:r>
      <w:r w:rsidRPr="00D14A7B">
        <w:rPr>
          <w:rFonts w:cs="Arial"/>
          <w:szCs w:val="24"/>
        </w:rPr>
        <w:t>device</w:t>
      </w:r>
      <w:r w:rsidR="00C648BF" w:rsidRPr="00D14A7B">
        <w:rPr>
          <w:rFonts w:cs="Arial"/>
          <w:szCs w:val="24"/>
        </w:rPr>
        <w:t xml:space="preserve"> called a</w:t>
      </w:r>
      <w:r w:rsidRPr="00D14A7B">
        <w:rPr>
          <w:rFonts w:cs="Arial"/>
          <w:szCs w:val="24"/>
        </w:rPr>
        <w:t xml:space="preserve"> fuel cell.</w:t>
      </w:r>
      <w:r w:rsidR="00826007" w:rsidRPr="00D14A7B">
        <w:rPr>
          <w:rStyle w:val="FootnoteReference"/>
          <w:rFonts w:cs="Arial"/>
          <w:szCs w:val="24"/>
        </w:rPr>
        <w:footnoteReference w:id="25"/>
      </w:r>
      <w:r w:rsidR="00C648BF" w:rsidRPr="00D14A7B">
        <w:rPr>
          <w:rFonts w:cs="Arial"/>
          <w:szCs w:val="24"/>
        </w:rPr>
        <w:t xml:space="preserve"> </w:t>
      </w:r>
    </w:p>
    <w:p w:rsidR="001E3E95" w:rsidRPr="008720F3" w:rsidRDefault="005545DC" w:rsidP="00D14A7B">
      <w:pPr>
        <w:pStyle w:val="Heading3"/>
      </w:pPr>
      <w:bookmarkStart w:id="14" w:name="_Toc352854172"/>
      <w:r w:rsidRPr="008720F3">
        <w:t>Combustion of Hydrogen</w:t>
      </w:r>
      <w:bookmarkEnd w:id="14"/>
    </w:p>
    <w:p w:rsidR="001E3E95" w:rsidRPr="00D14A7B" w:rsidRDefault="00826007" w:rsidP="00C232F0">
      <w:pPr>
        <w:rPr>
          <w:rFonts w:cs="Arial"/>
          <w:szCs w:val="24"/>
        </w:rPr>
      </w:pPr>
      <w:r w:rsidRPr="00D14A7B">
        <w:rPr>
          <w:rFonts w:cs="Arial"/>
          <w:szCs w:val="24"/>
        </w:rPr>
        <w:t xml:space="preserve">Hydrogen can be blended with natural gas and used to power natural gas vehicles. This blended fuel </w:t>
      </w:r>
      <w:r w:rsidR="00B75B29" w:rsidRPr="00D14A7B">
        <w:rPr>
          <w:rFonts w:cs="Arial"/>
          <w:szCs w:val="24"/>
        </w:rPr>
        <w:t>has</w:t>
      </w:r>
      <w:r w:rsidRPr="00D14A7B">
        <w:rPr>
          <w:rFonts w:cs="Arial"/>
          <w:szCs w:val="24"/>
        </w:rPr>
        <w:t xml:space="preserve"> decreased </w:t>
      </w:r>
      <w:r w:rsidR="00FD4CE3" w:rsidRPr="00D14A7B">
        <w:rPr>
          <w:rFonts w:cs="Arial"/>
          <w:szCs w:val="24"/>
        </w:rPr>
        <w:t>NOx</w:t>
      </w:r>
      <w:r w:rsidRPr="00D14A7B">
        <w:rPr>
          <w:rFonts w:cs="Arial"/>
          <w:szCs w:val="24"/>
        </w:rPr>
        <w:t xml:space="preserve"> emissions when it is burned in natural gas vehicles.</w:t>
      </w:r>
    </w:p>
    <w:p w:rsidR="001E3E95" w:rsidRPr="008720F3" w:rsidRDefault="001E3E95" w:rsidP="00D14A7B">
      <w:pPr>
        <w:pStyle w:val="Heading3"/>
      </w:pPr>
      <w:bookmarkStart w:id="15" w:name="_Toc352854173"/>
      <w:r w:rsidRPr="008720F3">
        <w:t>Hydrogen Fuel Cells</w:t>
      </w:r>
      <w:bookmarkEnd w:id="15"/>
    </w:p>
    <w:p w:rsidR="00AE1177" w:rsidRPr="00D14A7B" w:rsidRDefault="00826007" w:rsidP="00C232F0">
      <w:pPr>
        <w:rPr>
          <w:rFonts w:cs="Arial"/>
          <w:szCs w:val="24"/>
        </w:rPr>
      </w:pPr>
      <w:r w:rsidRPr="00D14A7B">
        <w:rPr>
          <w:rFonts w:cs="Arial"/>
          <w:szCs w:val="24"/>
        </w:rPr>
        <w:t xml:space="preserve">Hydrogen fuel cell </w:t>
      </w:r>
      <w:r w:rsidR="00C648BF" w:rsidRPr="00D14A7B">
        <w:rPr>
          <w:rFonts w:cs="Arial"/>
          <w:szCs w:val="24"/>
        </w:rPr>
        <w:t xml:space="preserve">electric </w:t>
      </w:r>
      <w:r w:rsidRPr="00D14A7B">
        <w:rPr>
          <w:rFonts w:cs="Arial"/>
          <w:szCs w:val="24"/>
        </w:rPr>
        <w:t xml:space="preserve">vehicles are a more high-profile use of hydrogen </w:t>
      </w:r>
      <w:r w:rsidR="00F25A6C" w:rsidRPr="00D14A7B">
        <w:rPr>
          <w:rFonts w:cs="Arial"/>
          <w:szCs w:val="24"/>
        </w:rPr>
        <w:t>for</w:t>
      </w:r>
      <w:r w:rsidRPr="00D14A7B">
        <w:rPr>
          <w:rFonts w:cs="Arial"/>
          <w:szCs w:val="24"/>
        </w:rPr>
        <w:t xml:space="preserve"> automotive fuel. Fuel cells are able to convert hydrogen and oxygen into electricity and produce water as a byproduct. </w:t>
      </w:r>
      <w:r w:rsidR="00AE1177" w:rsidRPr="00D14A7B">
        <w:rPr>
          <w:rFonts w:cs="Arial"/>
          <w:szCs w:val="24"/>
        </w:rPr>
        <w:t>Because they can store a relatively large amount of hydrogen fuel in an on-board tank, fuel cell vehicles are not subject to the same range limitations as electric vehicles</w:t>
      </w:r>
      <w:r w:rsidR="00BB6ED3" w:rsidRPr="00D14A7B">
        <w:rPr>
          <w:rFonts w:cs="Arial"/>
          <w:szCs w:val="24"/>
        </w:rPr>
        <w:t>; however,</w:t>
      </w:r>
      <w:r w:rsidR="00AE1177" w:rsidRPr="00D14A7B">
        <w:rPr>
          <w:rFonts w:cs="Arial"/>
          <w:szCs w:val="24"/>
        </w:rPr>
        <w:t xml:space="preserve"> </w:t>
      </w:r>
      <w:r w:rsidR="00BB6ED3" w:rsidRPr="00D14A7B">
        <w:rPr>
          <w:rFonts w:cs="Arial"/>
          <w:szCs w:val="24"/>
        </w:rPr>
        <w:t>t</w:t>
      </w:r>
      <w:r w:rsidR="00AE1177" w:rsidRPr="00D14A7B">
        <w:rPr>
          <w:rFonts w:cs="Arial"/>
          <w:szCs w:val="24"/>
        </w:rPr>
        <w:t xml:space="preserve">he creation of a hydrogen </w:t>
      </w:r>
      <w:r w:rsidR="00AE1177" w:rsidRPr="00D14A7B">
        <w:rPr>
          <w:rFonts w:cs="Arial"/>
          <w:szCs w:val="24"/>
        </w:rPr>
        <w:lastRenderedPageBreak/>
        <w:t>refueling infrastructure is seen as a greater challenge for fuel cell vehicles than the creation of</w:t>
      </w:r>
      <w:r w:rsidR="00F25A6C" w:rsidRPr="00D14A7B">
        <w:rPr>
          <w:rFonts w:cs="Arial"/>
          <w:szCs w:val="24"/>
        </w:rPr>
        <w:t xml:space="preserve"> an</w:t>
      </w:r>
      <w:r w:rsidR="00AE1177" w:rsidRPr="00D14A7B">
        <w:rPr>
          <w:rFonts w:cs="Arial"/>
          <w:szCs w:val="24"/>
        </w:rPr>
        <w:t xml:space="preserve"> electric charging infrastructure is for electric vehicles.</w:t>
      </w:r>
      <w:r w:rsidR="00AE1177" w:rsidRPr="00D14A7B">
        <w:rPr>
          <w:rStyle w:val="FootnoteReference"/>
          <w:rFonts w:cs="Arial"/>
          <w:szCs w:val="24"/>
        </w:rPr>
        <w:footnoteReference w:id="26"/>
      </w:r>
    </w:p>
    <w:p w:rsidR="00DD56DC" w:rsidRPr="00D14A7B" w:rsidRDefault="00AE1177" w:rsidP="00C232F0">
      <w:pPr>
        <w:rPr>
          <w:rFonts w:cs="Arial"/>
          <w:szCs w:val="24"/>
        </w:rPr>
      </w:pPr>
      <w:r w:rsidRPr="00D14A7B">
        <w:rPr>
          <w:rFonts w:cs="Arial"/>
          <w:szCs w:val="24"/>
        </w:rPr>
        <w:t>Fuel cells</w:t>
      </w:r>
      <w:r w:rsidR="00826007" w:rsidRPr="00D14A7B">
        <w:rPr>
          <w:rFonts w:cs="Arial"/>
          <w:szCs w:val="24"/>
        </w:rPr>
        <w:t xml:space="preserve"> were first commercially used </w:t>
      </w:r>
      <w:r w:rsidR="00BB6ED3" w:rsidRPr="00D14A7B">
        <w:rPr>
          <w:rFonts w:cs="Arial"/>
          <w:szCs w:val="24"/>
        </w:rPr>
        <w:t>to power space-exploration vehicles</w:t>
      </w:r>
      <w:r w:rsidR="00826007" w:rsidRPr="00D14A7B">
        <w:rPr>
          <w:rFonts w:cs="Arial"/>
          <w:szCs w:val="24"/>
        </w:rPr>
        <w:t xml:space="preserve">, but have </w:t>
      </w:r>
      <w:r w:rsidR="00F25A6C" w:rsidRPr="00D14A7B">
        <w:rPr>
          <w:rFonts w:cs="Arial"/>
          <w:szCs w:val="24"/>
        </w:rPr>
        <w:t xml:space="preserve">since </w:t>
      </w:r>
      <w:r w:rsidR="00826007" w:rsidRPr="00D14A7B">
        <w:rPr>
          <w:rFonts w:cs="Arial"/>
          <w:szCs w:val="24"/>
        </w:rPr>
        <w:t>become more common for backup p</w:t>
      </w:r>
      <w:r w:rsidR="00DD56DC" w:rsidRPr="00D14A7B">
        <w:rPr>
          <w:rFonts w:cs="Arial"/>
          <w:szCs w:val="24"/>
        </w:rPr>
        <w:t>ower sources in large buildings. S</w:t>
      </w:r>
      <w:r w:rsidR="00826007" w:rsidRPr="00D14A7B">
        <w:rPr>
          <w:rFonts w:cs="Arial"/>
          <w:szCs w:val="24"/>
        </w:rPr>
        <w:t xml:space="preserve">ignificant </w:t>
      </w:r>
      <w:r w:rsidR="00BB6ED3" w:rsidRPr="00D14A7B">
        <w:rPr>
          <w:rFonts w:cs="Arial"/>
          <w:szCs w:val="24"/>
        </w:rPr>
        <w:t xml:space="preserve">investment has been made in </w:t>
      </w:r>
      <w:r w:rsidR="00826007" w:rsidRPr="00D14A7B">
        <w:rPr>
          <w:rFonts w:cs="Arial"/>
          <w:szCs w:val="24"/>
        </w:rPr>
        <w:t xml:space="preserve">research and development </w:t>
      </w:r>
      <w:r w:rsidR="00BB6ED3" w:rsidRPr="00D14A7B">
        <w:rPr>
          <w:rFonts w:cs="Arial"/>
          <w:szCs w:val="24"/>
        </w:rPr>
        <w:t>directed at creating</w:t>
      </w:r>
      <w:r w:rsidR="00826007" w:rsidRPr="00D14A7B">
        <w:rPr>
          <w:rFonts w:cs="Arial"/>
          <w:szCs w:val="24"/>
        </w:rPr>
        <w:t xml:space="preserve"> a commercially viable </w:t>
      </w:r>
      <w:r w:rsidR="002740E1" w:rsidRPr="00D14A7B">
        <w:rPr>
          <w:rFonts w:cs="Arial"/>
          <w:szCs w:val="24"/>
        </w:rPr>
        <w:t>hydrogen fuel cell vehicle</w:t>
      </w:r>
      <w:r w:rsidR="00826007" w:rsidRPr="00D14A7B">
        <w:rPr>
          <w:rFonts w:cs="Arial"/>
          <w:szCs w:val="24"/>
        </w:rPr>
        <w:t>.</w:t>
      </w:r>
      <w:r w:rsidR="00C648BF" w:rsidRPr="00D14A7B">
        <w:rPr>
          <w:rFonts w:cs="Arial"/>
          <w:szCs w:val="24"/>
        </w:rPr>
        <w:t xml:space="preserve"> </w:t>
      </w:r>
    </w:p>
    <w:p w:rsidR="00826007" w:rsidRPr="00D14A7B" w:rsidRDefault="00C648BF" w:rsidP="00C232F0">
      <w:pPr>
        <w:rPr>
          <w:rFonts w:cs="Arial"/>
          <w:szCs w:val="24"/>
        </w:rPr>
      </w:pPr>
      <w:r w:rsidRPr="00D14A7B">
        <w:rPr>
          <w:rFonts w:cs="Arial"/>
          <w:szCs w:val="24"/>
        </w:rPr>
        <w:t xml:space="preserve">Some automakers have introduced </w:t>
      </w:r>
      <w:r w:rsidR="002740E1" w:rsidRPr="00D14A7B">
        <w:rPr>
          <w:rFonts w:cs="Arial"/>
          <w:szCs w:val="24"/>
        </w:rPr>
        <w:t>hydrogen fuel cell</w:t>
      </w:r>
      <w:r w:rsidRPr="00D14A7B">
        <w:rPr>
          <w:rFonts w:cs="Arial"/>
          <w:szCs w:val="24"/>
        </w:rPr>
        <w:t xml:space="preserve"> demonstration models, and several have announced the introduction of </w:t>
      </w:r>
      <w:r w:rsidR="002740E1" w:rsidRPr="00D14A7B">
        <w:rPr>
          <w:rFonts w:cs="Arial"/>
          <w:szCs w:val="24"/>
        </w:rPr>
        <w:t>hydrogen fuel cell vehicles</w:t>
      </w:r>
      <w:r w:rsidRPr="00D14A7B">
        <w:rPr>
          <w:rFonts w:cs="Arial"/>
          <w:szCs w:val="24"/>
        </w:rPr>
        <w:t xml:space="preserve"> for sale by 2015.</w:t>
      </w:r>
      <w:r w:rsidR="00DD56DC" w:rsidRPr="00D14A7B">
        <w:rPr>
          <w:rFonts w:cs="Arial"/>
          <w:szCs w:val="24"/>
        </w:rPr>
        <w:t xml:space="preserve"> These vehicles will be primarily introduced in Europe, Asia, California, and Hawaii where there has been significant government effort to begin building </w:t>
      </w:r>
      <w:r w:rsidR="00C93F96" w:rsidRPr="00D14A7B">
        <w:rPr>
          <w:rFonts w:cs="Arial"/>
          <w:szCs w:val="24"/>
        </w:rPr>
        <w:t xml:space="preserve">a </w:t>
      </w:r>
      <w:r w:rsidR="00DD56DC" w:rsidRPr="00D14A7B">
        <w:rPr>
          <w:rFonts w:cs="Arial"/>
          <w:szCs w:val="24"/>
        </w:rPr>
        <w:t>hydrogen refueling infrastructure.</w:t>
      </w:r>
      <w:r w:rsidR="00E85C44" w:rsidRPr="00D14A7B">
        <w:rPr>
          <w:rStyle w:val="FootnoteReference"/>
          <w:rFonts w:cs="Arial"/>
          <w:szCs w:val="24"/>
        </w:rPr>
        <w:footnoteReference w:id="27"/>
      </w:r>
    </w:p>
    <w:p w:rsidR="001E6B9E" w:rsidRPr="008720F3" w:rsidRDefault="001E6B9E" w:rsidP="00D14A7B">
      <w:pPr>
        <w:pStyle w:val="Heading2"/>
      </w:pPr>
      <w:bookmarkStart w:id="16" w:name="_Toc352854174"/>
      <w:r w:rsidRPr="008720F3">
        <w:t>Biofuels</w:t>
      </w:r>
      <w:bookmarkEnd w:id="16"/>
      <w:r w:rsidRPr="008720F3">
        <w:t xml:space="preserve"> </w:t>
      </w:r>
    </w:p>
    <w:p w:rsidR="00686B6F" w:rsidRPr="00D14A7B" w:rsidRDefault="00686B6F" w:rsidP="00686B6F">
      <w:pPr>
        <w:rPr>
          <w:rFonts w:cs="Arial"/>
          <w:szCs w:val="24"/>
        </w:rPr>
      </w:pPr>
      <w:r w:rsidRPr="00D14A7B">
        <w:rPr>
          <w:rFonts w:cs="Arial"/>
          <w:szCs w:val="24"/>
        </w:rPr>
        <w:t xml:space="preserve">Biofuels are renewable fuels made from corn, sugarcane, soybeans, and other plant materials. </w:t>
      </w:r>
      <w:r w:rsidR="00C93F96" w:rsidRPr="00D14A7B">
        <w:rPr>
          <w:rFonts w:cs="Arial"/>
          <w:szCs w:val="24"/>
        </w:rPr>
        <w:t>C</w:t>
      </w:r>
      <w:r w:rsidRPr="00D14A7B">
        <w:rPr>
          <w:rFonts w:cs="Arial"/>
          <w:szCs w:val="24"/>
        </w:rPr>
        <w:t xml:space="preserve">urrent biofuels are generally made from feedstocks which </w:t>
      </w:r>
      <w:r w:rsidR="00C93F96" w:rsidRPr="00D14A7B">
        <w:rPr>
          <w:rFonts w:cs="Arial"/>
          <w:szCs w:val="24"/>
        </w:rPr>
        <w:t>might</w:t>
      </w:r>
      <w:r w:rsidRPr="00D14A7B">
        <w:rPr>
          <w:rFonts w:cs="Arial"/>
          <w:szCs w:val="24"/>
        </w:rPr>
        <w:t xml:space="preserve"> otherwise</w:t>
      </w:r>
      <w:r w:rsidR="00C93F96" w:rsidRPr="00D14A7B">
        <w:rPr>
          <w:rFonts w:cs="Arial"/>
          <w:szCs w:val="24"/>
        </w:rPr>
        <w:t xml:space="preserve"> be</w:t>
      </w:r>
      <w:r w:rsidRPr="00D14A7B">
        <w:rPr>
          <w:rFonts w:cs="Arial"/>
          <w:szCs w:val="24"/>
        </w:rPr>
        <w:t xml:space="preserve"> used to produce food</w:t>
      </w:r>
      <w:r w:rsidR="00C93F96" w:rsidRPr="00D14A7B">
        <w:rPr>
          <w:rFonts w:cs="Arial"/>
          <w:szCs w:val="24"/>
        </w:rPr>
        <w:t>.</w:t>
      </w:r>
      <w:r w:rsidRPr="00D14A7B">
        <w:rPr>
          <w:rFonts w:cs="Arial"/>
          <w:szCs w:val="24"/>
        </w:rPr>
        <w:t xml:space="preserve"> </w:t>
      </w:r>
      <w:r w:rsidR="00C93F96" w:rsidRPr="00D14A7B">
        <w:rPr>
          <w:rFonts w:cs="Arial"/>
          <w:szCs w:val="24"/>
        </w:rPr>
        <w:t>T</w:t>
      </w:r>
      <w:r w:rsidRPr="00D14A7B">
        <w:rPr>
          <w:rFonts w:cs="Arial"/>
          <w:szCs w:val="24"/>
        </w:rPr>
        <w:t>here is</w:t>
      </w:r>
      <w:r w:rsidR="00C93F96" w:rsidRPr="00D14A7B">
        <w:rPr>
          <w:rFonts w:cs="Arial"/>
          <w:szCs w:val="24"/>
        </w:rPr>
        <w:t>, currently,</w:t>
      </w:r>
      <w:r w:rsidR="00250B00" w:rsidRPr="00D14A7B">
        <w:rPr>
          <w:rFonts w:cs="Arial"/>
          <w:szCs w:val="24"/>
        </w:rPr>
        <w:t xml:space="preserve"> </w:t>
      </w:r>
      <w:r w:rsidRPr="00D14A7B">
        <w:rPr>
          <w:rFonts w:cs="Arial"/>
          <w:szCs w:val="24"/>
        </w:rPr>
        <w:t>a significant research push to develop biofuels derived from other feedstocks</w:t>
      </w:r>
      <w:r w:rsidR="00C93F96" w:rsidRPr="00D14A7B">
        <w:rPr>
          <w:rFonts w:cs="Arial"/>
          <w:szCs w:val="24"/>
        </w:rPr>
        <w:t xml:space="preserve"> (e.g., </w:t>
      </w:r>
      <w:r w:rsidRPr="00D14A7B">
        <w:rPr>
          <w:rFonts w:cs="Arial"/>
          <w:szCs w:val="24"/>
        </w:rPr>
        <w:t>switchgrass and willow</w:t>
      </w:r>
      <w:r w:rsidR="00C93F96" w:rsidRPr="00D14A7B">
        <w:rPr>
          <w:rFonts w:cs="Arial"/>
          <w:szCs w:val="24"/>
        </w:rPr>
        <w:t>)</w:t>
      </w:r>
      <w:r w:rsidRPr="00D14A7B">
        <w:rPr>
          <w:rFonts w:cs="Arial"/>
          <w:szCs w:val="24"/>
        </w:rPr>
        <w:t xml:space="preserve"> which do not compete with food production and can be grown on marginal land unsuitable for other crops.</w:t>
      </w:r>
    </w:p>
    <w:p w:rsidR="00DE45F0" w:rsidRPr="00D14A7B" w:rsidRDefault="007A6323" w:rsidP="00686B6F">
      <w:pPr>
        <w:rPr>
          <w:rFonts w:cs="Arial"/>
          <w:szCs w:val="24"/>
        </w:rPr>
      </w:pPr>
      <w:r w:rsidRPr="00D14A7B">
        <w:rPr>
          <w:rFonts w:cs="Arial"/>
          <w:szCs w:val="24"/>
        </w:rPr>
        <w:t>While biofuels still release GHGs when burned,</w:t>
      </w:r>
      <w:r w:rsidR="003E0656" w:rsidRPr="00D14A7B">
        <w:rPr>
          <w:rFonts w:cs="Arial"/>
          <w:szCs w:val="24"/>
        </w:rPr>
        <w:t xml:space="preserve"> they can be considered carbon neutral because</w:t>
      </w:r>
      <w:r w:rsidRPr="00D14A7B">
        <w:rPr>
          <w:rFonts w:cs="Arial"/>
          <w:szCs w:val="24"/>
        </w:rPr>
        <w:t xml:space="preserve"> the carbon </w:t>
      </w:r>
      <w:r w:rsidR="003E0656" w:rsidRPr="00D14A7B">
        <w:rPr>
          <w:rFonts w:cs="Arial"/>
          <w:szCs w:val="24"/>
        </w:rPr>
        <w:t>contained in biofuels was previously absorbed from the atmosphere by plants undergoing photosynthesis. Two common biofuels are</w:t>
      </w:r>
      <w:r w:rsidR="00DE45F0" w:rsidRPr="00D14A7B">
        <w:rPr>
          <w:rFonts w:cs="Arial"/>
          <w:szCs w:val="24"/>
        </w:rPr>
        <w:t xml:space="preserve"> ethanol and biodiesel; “drop-in” biofuels are another class of biofuels that are just beginning to emerge.</w:t>
      </w:r>
      <w:r w:rsidR="00487E0F" w:rsidRPr="00D14A7B">
        <w:rPr>
          <w:rFonts w:cs="Arial"/>
          <w:szCs w:val="24"/>
        </w:rPr>
        <w:t xml:space="preserve"> </w:t>
      </w:r>
    </w:p>
    <w:p w:rsidR="001E6B9E" w:rsidRPr="008720F3" w:rsidRDefault="001E6B9E" w:rsidP="00D14A7B">
      <w:pPr>
        <w:pStyle w:val="Heading3"/>
      </w:pPr>
      <w:bookmarkStart w:id="17" w:name="_Toc352854175"/>
      <w:r w:rsidRPr="008720F3">
        <w:t>Ethanol</w:t>
      </w:r>
      <w:bookmarkEnd w:id="17"/>
    </w:p>
    <w:p w:rsidR="00EB681A" w:rsidRPr="00D14A7B" w:rsidRDefault="003E0656" w:rsidP="003E0656">
      <w:pPr>
        <w:rPr>
          <w:rFonts w:cs="Arial"/>
          <w:szCs w:val="24"/>
        </w:rPr>
      </w:pPr>
      <w:r w:rsidRPr="00D14A7B">
        <w:rPr>
          <w:rFonts w:cs="Arial"/>
          <w:szCs w:val="24"/>
        </w:rPr>
        <w:t>Ethanol is created through the fermentation of corn in the United States and sugar cane in Brazil</w:t>
      </w:r>
      <w:r w:rsidR="00EB681A" w:rsidRPr="00D14A7B">
        <w:rPr>
          <w:rFonts w:cs="Arial"/>
          <w:szCs w:val="24"/>
        </w:rPr>
        <w:t>. G</w:t>
      </w:r>
      <w:r w:rsidRPr="00D14A7B">
        <w:rPr>
          <w:rFonts w:cs="Arial"/>
          <w:szCs w:val="24"/>
        </w:rPr>
        <w:t xml:space="preserve">asoline is often blended with a </w:t>
      </w:r>
      <w:r w:rsidR="00C93F96" w:rsidRPr="00D14A7B">
        <w:rPr>
          <w:rFonts w:cs="Arial"/>
          <w:szCs w:val="24"/>
        </w:rPr>
        <w:t>specific</w:t>
      </w:r>
      <w:r w:rsidRPr="00D14A7B">
        <w:rPr>
          <w:rFonts w:cs="Arial"/>
          <w:szCs w:val="24"/>
        </w:rPr>
        <w:t xml:space="preserve"> amount of ethanol </w:t>
      </w:r>
      <w:r w:rsidR="00C93F96" w:rsidRPr="00D14A7B">
        <w:rPr>
          <w:rFonts w:cs="Arial"/>
          <w:szCs w:val="24"/>
        </w:rPr>
        <w:t>(e.g.</w:t>
      </w:r>
      <w:r w:rsidR="00EB681A" w:rsidRPr="00D14A7B">
        <w:rPr>
          <w:rFonts w:cs="Arial"/>
          <w:szCs w:val="24"/>
        </w:rPr>
        <w:t xml:space="preserve">, </w:t>
      </w:r>
      <w:r w:rsidR="00250B00" w:rsidRPr="00D14A7B">
        <w:rPr>
          <w:rFonts w:cs="Arial"/>
          <w:szCs w:val="24"/>
        </w:rPr>
        <w:t>ten</w:t>
      </w:r>
      <w:r w:rsidRPr="00D14A7B">
        <w:rPr>
          <w:rFonts w:cs="Arial"/>
          <w:szCs w:val="24"/>
        </w:rPr>
        <w:t xml:space="preserve"> percent in the United States and 20-</w:t>
      </w:r>
      <w:r w:rsidR="00EB681A" w:rsidRPr="00D14A7B">
        <w:rPr>
          <w:rFonts w:cs="Arial"/>
          <w:szCs w:val="24"/>
        </w:rPr>
        <w:t>25 percent in Brazil</w:t>
      </w:r>
      <w:r w:rsidRPr="00D14A7B">
        <w:rPr>
          <w:rFonts w:cs="Arial"/>
          <w:szCs w:val="24"/>
        </w:rPr>
        <w:t>)</w:t>
      </w:r>
      <w:r w:rsidR="00C93F96" w:rsidRPr="00D14A7B">
        <w:rPr>
          <w:rFonts w:cs="Arial"/>
          <w:szCs w:val="24"/>
        </w:rPr>
        <w:t>.</w:t>
      </w:r>
      <w:r w:rsidR="00EB681A" w:rsidRPr="00D14A7B">
        <w:rPr>
          <w:rFonts w:cs="Arial"/>
          <w:szCs w:val="24"/>
        </w:rPr>
        <w:t xml:space="preserve"> </w:t>
      </w:r>
      <w:r w:rsidR="00C93F96" w:rsidRPr="00D14A7B">
        <w:rPr>
          <w:rFonts w:cs="Arial"/>
          <w:szCs w:val="24"/>
        </w:rPr>
        <w:t>E</w:t>
      </w:r>
      <w:r w:rsidR="00EB681A" w:rsidRPr="00D14A7B">
        <w:rPr>
          <w:rFonts w:cs="Arial"/>
          <w:szCs w:val="24"/>
        </w:rPr>
        <w:t>thanol is also available in significantly higher blends</w:t>
      </w:r>
      <w:r w:rsidR="00386AEB" w:rsidRPr="00D14A7B">
        <w:rPr>
          <w:rFonts w:cs="Arial"/>
          <w:szCs w:val="24"/>
        </w:rPr>
        <w:t>;</w:t>
      </w:r>
      <w:r w:rsidR="00EB681A" w:rsidRPr="00D14A7B">
        <w:rPr>
          <w:rFonts w:cs="Arial"/>
          <w:szCs w:val="24"/>
        </w:rPr>
        <w:t xml:space="preserve"> E85, </w:t>
      </w:r>
      <w:r w:rsidR="00386AEB" w:rsidRPr="00D14A7B">
        <w:rPr>
          <w:rFonts w:cs="Arial"/>
          <w:szCs w:val="24"/>
        </w:rPr>
        <w:t>for instance,</w:t>
      </w:r>
      <w:r w:rsidR="00EB681A" w:rsidRPr="00D14A7B">
        <w:rPr>
          <w:rFonts w:cs="Arial"/>
          <w:szCs w:val="24"/>
        </w:rPr>
        <w:t xml:space="preserve"> contains up to 85 percent ethanol. While conventional vehicles can handl</w:t>
      </w:r>
      <w:r w:rsidR="008E7D78" w:rsidRPr="00D14A7B">
        <w:rPr>
          <w:rFonts w:cs="Arial"/>
          <w:szCs w:val="24"/>
        </w:rPr>
        <w:t xml:space="preserve">e lower level blends which may contain only </w:t>
      </w:r>
      <w:r w:rsidR="00250B00" w:rsidRPr="00D14A7B">
        <w:rPr>
          <w:rFonts w:cs="Arial"/>
          <w:szCs w:val="24"/>
        </w:rPr>
        <w:t>ten</w:t>
      </w:r>
      <w:r w:rsidR="008E7D78" w:rsidRPr="00D14A7B">
        <w:rPr>
          <w:rFonts w:cs="Arial"/>
          <w:szCs w:val="24"/>
        </w:rPr>
        <w:t xml:space="preserve"> percent ethanol</w:t>
      </w:r>
      <w:r w:rsidR="00EB681A" w:rsidRPr="00D14A7B">
        <w:rPr>
          <w:rFonts w:cs="Arial"/>
          <w:szCs w:val="24"/>
        </w:rPr>
        <w:t xml:space="preserve">, special vehicles optimized to burn ethanol are required to burn E85. </w:t>
      </w:r>
    </w:p>
    <w:p w:rsidR="003E0656" w:rsidRDefault="00386AEB" w:rsidP="00EB681A">
      <w:pPr>
        <w:rPr>
          <w:rFonts w:cs="Arial"/>
          <w:szCs w:val="24"/>
        </w:rPr>
      </w:pPr>
      <w:r w:rsidRPr="00D14A7B">
        <w:rPr>
          <w:rFonts w:cs="Arial"/>
          <w:szCs w:val="24"/>
        </w:rPr>
        <w:t>V</w:t>
      </w:r>
      <w:r w:rsidR="00EB681A" w:rsidRPr="00D14A7B">
        <w:rPr>
          <w:rFonts w:cs="Arial"/>
          <w:szCs w:val="24"/>
        </w:rPr>
        <w:t>ehicles capable of burning ethanol were developed</w:t>
      </w:r>
      <w:r w:rsidRPr="00D14A7B">
        <w:rPr>
          <w:rFonts w:cs="Arial"/>
          <w:szCs w:val="24"/>
        </w:rPr>
        <w:t xml:space="preserve"> in the past</w:t>
      </w:r>
      <w:r w:rsidR="00EB681A" w:rsidRPr="00D14A7B">
        <w:rPr>
          <w:rFonts w:cs="Arial"/>
          <w:szCs w:val="24"/>
        </w:rPr>
        <w:t xml:space="preserve">, but they could not run on conventional gasoline. A decade ago, automakers began </w:t>
      </w:r>
      <w:r w:rsidR="00310C26" w:rsidRPr="00D14A7B">
        <w:rPr>
          <w:rFonts w:cs="Arial"/>
          <w:szCs w:val="24"/>
        </w:rPr>
        <w:t xml:space="preserve">offering </w:t>
      </w:r>
      <w:r w:rsidR="00157CD6" w:rsidRPr="00D14A7B">
        <w:rPr>
          <w:rFonts w:cs="Arial"/>
          <w:szCs w:val="24"/>
        </w:rPr>
        <w:t>flex-fuel vehicles</w:t>
      </w:r>
      <w:r w:rsidR="00080915" w:rsidRPr="00D14A7B">
        <w:rPr>
          <w:rFonts w:cs="Arial"/>
          <w:szCs w:val="24"/>
        </w:rPr>
        <w:t xml:space="preserve"> </w:t>
      </w:r>
      <w:r w:rsidR="00EB681A" w:rsidRPr="00D14A7B">
        <w:rPr>
          <w:rFonts w:cs="Arial"/>
          <w:szCs w:val="24"/>
        </w:rPr>
        <w:t>contain</w:t>
      </w:r>
      <w:r w:rsidRPr="00D14A7B">
        <w:rPr>
          <w:rFonts w:cs="Arial"/>
          <w:szCs w:val="24"/>
        </w:rPr>
        <w:t>ing</w:t>
      </w:r>
      <w:r w:rsidR="00EB681A" w:rsidRPr="00D14A7B">
        <w:rPr>
          <w:rFonts w:cs="Arial"/>
          <w:szCs w:val="24"/>
        </w:rPr>
        <w:t xml:space="preserve"> sensors which allow the powertrain to be automatically calibrated to handle a variety of gasoline-ethanol blends.</w:t>
      </w:r>
    </w:p>
    <w:p w:rsidR="00E1049C" w:rsidRPr="00D14A7B" w:rsidRDefault="00E1049C" w:rsidP="00E1049C">
      <w:pPr>
        <w:pStyle w:val="NoSpacing"/>
        <w:spacing w:after="200" w:line="276" w:lineRule="auto"/>
        <w:rPr>
          <w:rFonts w:cs="Arial"/>
          <w:szCs w:val="24"/>
        </w:rPr>
      </w:pPr>
      <w:r>
        <w:rPr>
          <w:rFonts w:cs="Arial"/>
          <w:szCs w:val="24"/>
        </w:rPr>
        <w:t xml:space="preserve">U.S. policy has </w:t>
      </w:r>
      <w:r w:rsidR="00A15C69">
        <w:rPr>
          <w:rFonts w:cs="Arial"/>
          <w:szCs w:val="24"/>
        </w:rPr>
        <w:t>been used to promote</w:t>
      </w:r>
      <w:r>
        <w:rPr>
          <w:rFonts w:cs="Arial"/>
          <w:szCs w:val="24"/>
        </w:rPr>
        <w:t xml:space="preserve"> the sale of flex-fuel</w:t>
      </w:r>
      <w:r w:rsidR="00A15C69">
        <w:rPr>
          <w:rFonts w:cs="Arial"/>
          <w:szCs w:val="24"/>
        </w:rPr>
        <w:t xml:space="preserve"> vehicles</w:t>
      </w:r>
      <w:r>
        <w:rPr>
          <w:rFonts w:cs="Arial"/>
          <w:szCs w:val="24"/>
        </w:rPr>
        <w:t xml:space="preserve"> as a way of addressing the “chicken-and-egg” problem of AFV sales and refueling infrastructure installation. While incentives for vehicles, fuel, and stations have existed for several years, availability of E85 is still rather limited at stations across the country. While flex-fuel vehicles constitute the largest portion of current U.S. AFV sales (over one million units annually), most run primarily on gasoline due to limited infrastructure availability, lack of consumer awareness, and the high per-mile cost of using E85 compared to gasoline. While the price of </w:t>
      </w:r>
      <w:r>
        <w:rPr>
          <w:rFonts w:cs="Arial"/>
          <w:szCs w:val="24"/>
        </w:rPr>
        <w:lastRenderedPageBreak/>
        <w:t>E85 is usually lower than that of gasoline on a per-gallon basis, E85 contains about 30 percent less energy, making it a more expensive fuel per mile driven.</w:t>
      </w:r>
      <w:r w:rsidRPr="00022913">
        <w:rPr>
          <w:rStyle w:val="FootnoteReference"/>
          <w:rFonts w:cs="Arial"/>
          <w:szCs w:val="24"/>
        </w:rPr>
        <w:footnoteReference w:id="28"/>
      </w:r>
      <w:r>
        <w:rPr>
          <w:rFonts w:cs="Arial"/>
          <w:szCs w:val="24"/>
        </w:rPr>
        <w:t xml:space="preserve"> As most flex-fuel vehicles use no more ethanol than a conventional gasoline-powered vehicle,</w:t>
      </w:r>
      <w:r w:rsidR="00420BB7">
        <w:rPr>
          <w:rFonts w:cs="Arial"/>
          <w:szCs w:val="24"/>
        </w:rPr>
        <w:t xml:space="preserve"> their capacity to function as an AFV </w:t>
      </w:r>
      <w:r w:rsidR="00A15C69">
        <w:rPr>
          <w:rFonts w:cs="Arial"/>
          <w:szCs w:val="24"/>
        </w:rPr>
        <w:t>often goes unused.</w:t>
      </w:r>
    </w:p>
    <w:p w:rsidR="004847F1" w:rsidRPr="008720F3" w:rsidRDefault="001E6B9E" w:rsidP="00D14A7B">
      <w:pPr>
        <w:pStyle w:val="Heading3"/>
      </w:pPr>
      <w:bookmarkStart w:id="18" w:name="_Toc352854176"/>
      <w:r w:rsidRPr="008720F3">
        <w:t>Biodiesel</w:t>
      </w:r>
      <w:bookmarkEnd w:id="18"/>
    </w:p>
    <w:p w:rsidR="00C12103" w:rsidRPr="00D14A7B" w:rsidRDefault="00CD5745">
      <w:pPr>
        <w:rPr>
          <w:rFonts w:cs="Arial"/>
          <w:szCs w:val="24"/>
        </w:rPr>
      </w:pPr>
      <w:r w:rsidRPr="00D14A7B">
        <w:rPr>
          <w:rFonts w:cs="Arial"/>
          <w:szCs w:val="24"/>
        </w:rPr>
        <w:t>Biodiesel</w:t>
      </w:r>
      <w:r w:rsidR="00F94CE0" w:rsidRPr="00D14A7B">
        <w:rPr>
          <w:rFonts w:cs="Arial"/>
          <w:szCs w:val="24"/>
        </w:rPr>
        <w:t xml:space="preserve"> is primarily produced from </w:t>
      </w:r>
      <w:r w:rsidRPr="00D14A7B">
        <w:rPr>
          <w:rFonts w:cs="Arial"/>
          <w:szCs w:val="24"/>
        </w:rPr>
        <w:t>vegetable oils</w:t>
      </w:r>
      <w:r w:rsidR="00F94CE0" w:rsidRPr="00D14A7B">
        <w:rPr>
          <w:rFonts w:cs="Arial"/>
          <w:szCs w:val="24"/>
        </w:rPr>
        <w:t xml:space="preserve"> (soybeans in the United States), but can also be made from animal fats</w:t>
      </w:r>
      <w:r w:rsidRPr="00D14A7B">
        <w:rPr>
          <w:rFonts w:cs="Arial"/>
          <w:szCs w:val="24"/>
        </w:rPr>
        <w:t xml:space="preserve"> or recycled restaurant grease</w:t>
      </w:r>
      <w:r w:rsidR="006A63AF" w:rsidRPr="00D14A7B">
        <w:rPr>
          <w:rFonts w:cs="Arial"/>
          <w:szCs w:val="24"/>
        </w:rPr>
        <w:t xml:space="preserve">. </w:t>
      </w:r>
      <w:r w:rsidR="00F94CE0" w:rsidRPr="00D14A7B">
        <w:rPr>
          <w:rFonts w:cs="Arial"/>
          <w:szCs w:val="24"/>
        </w:rPr>
        <w:t>It is</w:t>
      </w:r>
      <w:r w:rsidRPr="00D14A7B">
        <w:rPr>
          <w:rFonts w:cs="Arial"/>
          <w:szCs w:val="24"/>
        </w:rPr>
        <w:t xml:space="preserve"> similar </w:t>
      </w:r>
      <w:r w:rsidR="00386AEB" w:rsidRPr="00D14A7B">
        <w:rPr>
          <w:rFonts w:cs="Arial"/>
          <w:szCs w:val="24"/>
        </w:rPr>
        <w:t xml:space="preserve">to </w:t>
      </w:r>
      <w:r w:rsidR="00F94CE0" w:rsidRPr="00D14A7B">
        <w:rPr>
          <w:rFonts w:cs="Arial"/>
          <w:szCs w:val="24"/>
        </w:rPr>
        <w:t>petroleum diesel, but is</w:t>
      </w:r>
      <w:r w:rsidR="006A63AF" w:rsidRPr="00D14A7B">
        <w:rPr>
          <w:rFonts w:cs="Arial"/>
          <w:szCs w:val="24"/>
        </w:rPr>
        <w:t xml:space="preserve"> cleaner-burning</w:t>
      </w:r>
      <w:r w:rsidR="00386AEB" w:rsidRPr="00D14A7B">
        <w:rPr>
          <w:rFonts w:cs="Arial"/>
          <w:szCs w:val="24"/>
        </w:rPr>
        <w:t xml:space="preserve"> and</w:t>
      </w:r>
      <w:r w:rsidR="006A63AF" w:rsidRPr="00D14A7B">
        <w:rPr>
          <w:rFonts w:cs="Arial"/>
          <w:szCs w:val="24"/>
        </w:rPr>
        <w:t xml:space="preserve"> </w:t>
      </w:r>
      <w:r w:rsidR="00386AEB" w:rsidRPr="00D14A7B">
        <w:rPr>
          <w:rFonts w:cs="Arial"/>
          <w:szCs w:val="24"/>
        </w:rPr>
        <w:t xml:space="preserve">has </w:t>
      </w:r>
      <w:r w:rsidR="006A63AF" w:rsidRPr="00D14A7B">
        <w:rPr>
          <w:rFonts w:cs="Arial"/>
          <w:szCs w:val="24"/>
        </w:rPr>
        <w:t>reduced</w:t>
      </w:r>
      <w:r w:rsidRPr="00D14A7B">
        <w:rPr>
          <w:rFonts w:cs="Arial"/>
          <w:szCs w:val="24"/>
        </w:rPr>
        <w:t xml:space="preserve"> emissions</w:t>
      </w:r>
      <w:r w:rsidR="006A63AF" w:rsidRPr="00D14A7B">
        <w:rPr>
          <w:rFonts w:cs="Arial"/>
          <w:szCs w:val="24"/>
        </w:rPr>
        <w:t xml:space="preserve"> </w:t>
      </w:r>
      <w:r w:rsidR="00386AEB" w:rsidRPr="00D14A7B">
        <w:rPr>
          <w:rFonts w:cs="Arial"/>
          <w:szCs w:val="24"/>
        </w:rPr>
        <w:t xml:space="preserve">when </w:t>
      </w:r>
      <w:r w:rsidR="006A63AF" w:rsidRPr="00D14A7B">
        <w:rPr>
          <w:rFonts w:cs="Arial"/>
          <w:szCs w:val="24"/>
        </w:rPr>
        <w:t>compared to petroleum diesel</w:t>
      </w:r>
      <w:r w:rsidRPr="00D14A7B">
        <w:rPr>
          <w:rFonts w:cs="Arial"/>
          <w:szCs w:val="24"/>
        </w:rPr>
        <w:t>.</w:t>
      </w:r>
      <w:r w:rsidR="00BB22D2" w:rsidRPr="00D14A7B">
        <w:rPr>
          <w:rFonts w:cs="Arial"/>
          <w:szCs w:val="24"/>
        </w:rPr>
        <w:t xml:space="preserve"> Biodiesel is commonly used in</w:t>
      </w:r>
      <w:r w:rsidR="006A63AF" w:rsidRPr="00D14A7B">
        <w:rPr>
          <w:rFonts w:cs="Arial"/>
          <w:szCs w:val="24"/>
        </w:rPr>
        <w:t xml:space="preserve"> B20</w:t>
      </w:r>
      <w:r w:rsidR="00BB22D2" w:rsidRPr="00D14A7B">
        <w:rPr>
          <w:rFonts w:cs="Arial"/>
          <w:szCs w:val="24"/>
        </w:rPr>
        <w:t>, a blend</w:t>
      </w:r>
      <w:r w:rsidR="006A63AF" w:rsidRPr="00D14A7B">
        <w:rPr>
          <w:rFonts w:cs="Arial"/>
          <w:szCs w:val="24"/>
        </w:rPr>
        <w:t xml:space="preserve"> contain</w:t>
      </w:r>
      <w:r w:rsidR="00BB22D2" w:rsidRPr="00D14A7B">
        <w:rPr>
          <w:rFonts w:cs="Arial"/>
          <w:szCs w:val="24"/>
        </w:rPr>
        <w:t>ing</w:t>
      </w:r>
      <w:r w:rsidR="006A63AF" w:rsidRPr="00D14A7B">
        <w:rPr>
          <w:rFonts w:cs="Arial"/>
          <w:szCs w:val="24"/>
        </w:rPr>
        <w:t xml:space="preserve"> 20 percent biodiesel and 80 percent petroleum diesel.</w:t>
      </w:r>
      <w:r w:rsidR="00435A15" w:rsidRPr="00D14A7B">
        <w:rPr>
          <w:rFonts w:cs="Arial"/>
          <w:szCs w:val="24"/>
        </w:rPr>
        <w:t xml:space="preserve"> </w:t>
      </w:r>
      <w:r w:rsidR="006A63AF" w:rsidRPr="00D14A7B">
        <w:rPr>
          <w:rFonts w:cs="Arial"/>
          <w:szCs w:val="24"/>
        </w:rPr>
        <w:t>Because biodiesel has approximately eight percent less energy content than petroleum diesel, a gallon of B20 has one or two percent less energy than a gallon of petroleum diesel.</w:t>
      </w:r>
      <w:r w:rsidR="006A63AF" w:rsidRPr="00D14A7B">
        <w:rPr>
          <w:rStyle w:val="FootnoteReference"/>
          <w:rFonts w:cs="Arial"/>
          <w:szCs w:val="24"/>
        </w:rPr>
        <w:t xml:space="preserve"> </w:t>
      </w:r>
      <w:r w:rsidR="006A63AF" w:rsidRPr="00D14A7B">
        <w:rPr>
          <w:rStyle w:val="FootnoteReference"/>
          <w:rFonts w:cs="Arial"/>
          <w:szCs w:val="24"/>
        </w:rPr>
        <w:footnoteReference w:id="29"/>
      </w:r>
      <w:r w:rsidR="006A63AF" w:rsidRPr="00D14A7B">
        <w:rPr>
          <w:rFonts w:cs="Arial"/>
          <w:szCs w:val="24"/>
        </w:rPr>
        <w:t xml:space="preserve"> </w:t>
      </w:r>
    </w:p>
    <w:p w:rsidR="00DE45F0" w:rsidRPr="008720F3" w:rsidRDefault="00DE45F0" w:rsidP="00D14A7B">
      <w:pPr>
        <w:pStyle w:val="Heading3"/>
      </w:pPr>
      <w:bookmarkStart w:id="19" w:name="_Toc352854177"/>
      <w:r w:rsidRPr="008720F3">
        <w:t>Drop-in Biofuels</w:t>
      </w:r>
      <w:bookmarkEnd w:id="19"/>
    </w:p>
    <w:p w:rsidR="00DE45F0" w:rsidRPr="00D14A7B" w:rsidRDefault="00DE45F0">
      <w:pPr>
        <w:rPr>
          <w:rFonts w:cs="Arial"/>
          <w:szCs w:val="24"/>
        </w:rPr>
      </w:pPr>
      <w:r w:rsidRPr="00D14A7B">
        <w:rPr>
          <w:rFonts w:cs="Arial"/>
          <w:szCs w:val="24"/>
        </w:rPr>
        <w:t>Drop-in biofuels are a variety of fuels currently being developed; significant public and private research and development efforts are underway to develop such fuels from biomass feedstocks.</w:t>
      </w:r>
      <w:r w:rsidRPr="00D14A7B">
        <w:rPr>
          <w:rStyle w:val="FootnoteReference"/>
          <w:rFonts w:cs="Arial"/>
          <w:szCs w:val="24"/>
        </w:rPr>
        <w:footnoteReference w:id="30"/>
      </w:r>
      <w:r w:rsidRPr="00D14A7B">
        <w:rPr>
          <w:rFonts w:cs="Arial"/>
          <w:szCs w:val="24"/>
        </w:rPr>
        <w:t xml:space="preserve"> These biofuels are direct replacements for petroleum-based fuels, and will not require specialized vehicles or infrastructure.</w:t>
      </w:r>
      <w:r w:rsidRPr="00D14A7B">
        <w:rPr>
          <w:rStyle w:val="FootnoteReference"/>
          <w:rFonts w:cs="Arial"/>
          <w:szCs w:val="24"/>
        </w:rPr>
        <w:footnoteReference w:id="31"/>
      </w:r>
      <w:r w:rsidRPr="00D14A7B">
        <w:rPr>
          <w:rFonts w:cs="Arial"/>
          <w:szCs w:val="24"/>
        </w:rPr>
        <w:t xml:space="preserve"> While gasoline blends of up to 10 or 15 percent and diesel blends of up to 20 percent can be used in existing vehicles and dispensing infrastructure, ethanol and biodiesel are not considered “drop-in” biofuels.</w:t>
      </w:r>
    </w:p>
    <w:p w:rsidR="00A77F72" w:rsidRPr="008720F3" w:rsidRDefault="00A77F72" w:rsidP="00D14A7B">
      <w:pPr>
        <w:pStyle w:val="Heading2"/>
      </w:pPr>
      <w:bookmarkStart w:id="20" w:name="_Toc352854178"/>
      <w:r w:rsidRPr="008720F3">
        <w:t xml:space="preserve">Comparison of </w:t>
      </w:r>
      <w:r w:rsidR="00D61512">
        <w:t>Fuels</w:t>
      </w:r>
      <w:bookmarkEnd w:id="20"/>
    </w:p>
    <w:p w:rsidR="00071935" w:rsidRDefault="009C1D13">
      <w:pPr>
        <w:rPr>
          <w:rFonts w:cs="Arial"/>
        </w:rPr>
      </w:pPr>
      <w:r w:rsidRPr="00D14A7B">
        <w:rPr>
          <w:rFonts w:cs="Arial"/>
        </w:rPr>
        <w:t>Average price and fuel economy data for vehicles using various fuels is dis</w:t>
      </w:r>
      <w:r w:rsidR="003426F3">
        <w:rPr>
          <w:rFonts w:cs="Arial"/>
        </w:rPr>
        <w:t>played</w:t>
      </w:r>
      <w:r w:rsidRPr="00D14A7B">
        <w:rPr>
          <w:rFonts w:cs="Arial"/>
        </w:rPr>
        <w:t xml:space="preserve"> in Table 1. This data represents average values from various 2012 and 2013 vehicle models</w:t>
      </w:r>
      <w:r w:rsidR="003E472F" w:rsidRPr="00D14A7B">
        <w:rPr>
          <w:rFonts w:cs="Arial"/>
        </w:rPr>
        <w:t>.</w:t>
      </w:r>
      <w:r w:rsidR="003E472F" w:rsidRPr="00D14A7B">
        <w:rPr>
          <w:rStyle w:val="FootnoteReference"/>
          <w:rFonts w:cs="Arial"/>
        </w:rPr>
        <w:footnoteReference w:id="32"/>
      </w:r>
      <w:r w:rsidRPr="00D14A7B">
        <w:rPr>
          <w:rFonts w:cs="Arial"/>
        </w:rPr>
        <w:t xml:space="preserve"> The data allows for a rough comparison of different AFVs. The </w:t>
      </w:r>
      <w:r w:rsidR="00F62F5B" w:rsidRPr="00D14A7B">
        <w:rPr>
          <w:rFonts w:cs="Arial"/>
        </w:rPr>
        <w:t>estimate</w:t>
      </w:r>
      <w:r w:rsidRPr="00D14A7B">
        <w:rPr>
          <w:rFonts w:cs="Arial"/>
        </w:rPr>
        <w:t xml:space="preserve"> for combined </w:t>
      </w:r>
      <w:r w:rsidR="00F62F5B" w:rsidRPr="00D14A7B">
        <w:rPr>
          <w:rFonts w:cs="Arial"/>
        </w:rPr>
        <w:t>miles per gallon equivalent (</w:t>
      </w:r>
      <w:r w:rsidRPr="00D14A7B">
        <w:rPr>
          <w:rFonts w:cs="Arial"/>
        </w:rPr>
        <w:t>MPG/e</w:t>
      </w:r>
      <w:r w:rsidR="00F62F5B" w:rsidRPr="00D14A7B">
        <w:rPr>
          <w:rFonts w:cs="Arial"/>
        </w:rPr>
        <w:t>), which estimates how many miles a vehicle can travel on one GGE,</w:t>
      </w:r>
      <w:r w:rsidRPr="00D14A7B">
        <w:rPr>
          <w:rFonts w:cs="Arial"/>
        </w:rPr>
        <w:t xml:space="preserve"> will be used for further analysis in a later section of the paper.</w:t>
      </w:r>
    </w:p>
    <w:p w:rsidR="003426F3" w:rsidRDefault="003426F3" w:rsidP="003426F3">
      <w:pPr>
        <w:rPr>
          <w:rFonts w:cs="Arial"/>
          <w:szCs w:val="24"/>
        </w:rPr>
      </w:pPr>
      <w:r w:rsidRPr="002A1037">
        <w:t xml:space="preserve">As previously mentioned, each of the AFV technologies discussed in this paper has the potential to </w:t>
      </w:r>
      <w:r w:rsidRPr="002A1037">
        <w:rPr>
          <w:rFonts w:cs="Arial"/>
          <w:szCs w:val="24"/>
        </w:rPr>
        <w:t xml:space="preserve">displace petroleum use and </w:t>
      </w:r>
      <w:r w:rsidRPr="002A1037">
        <w:t xml:space="preserve">reduce GHG emissions. The environmental effects of AFVs vary by technology type. While AFVs powered by electricity or hydrogen may have no tailpipe emissions, every </w:t>
      </w:r>
      <w:r w:rsidRPr="002A1037">
        <w:lastRenderedPageBreak/>
        <w:t>fuel type is responsible for some amount of emissions f</w:t>
      </w:r>
      <w:r w:rsidRPr="002A1037">
        <w:rPr>
          <w:rFonts w:cs="Arial"/>
          <w:szCs w:val="24"/>
        </w:rPr>
        <w:t>rom a lifecycle perspective.</w:t>
      </w:r>
      <w:r w:rsidRPr="002A1037">
        <w:rPr>
          <w:rStyle w:val="FootnoteReference"/>
          <w:rFonts w:cs="Arial"/>
          <w:szCs w:val="24"/>
        </w:rPr>
        <w:footnoteReference w:id="33"/>
      </w:r>
      <w:r w:rsidR="00073903">
        <w:rPr>
          <w:rFonts w:cs="Arial"/>
          <w:szCs w:val="24"/>
        </w:rPr>
        <w:t xml:space="preserve"> Differences in GHG emissions by fuel type are discussed in Appendix B.</w:t>
      </w:r>
    </w:p>
    <w:p w:rsidR="003426F3" w:rsidRPr="00D14A7B" w:rsidRDefault="003426F3" w:rsidP="003E3543">
      <w:pPr>
        <w:pStyle w:val="Caption"/>
        <w:keepNext/>
        <w:spacing w:after="60" w:line="276" w:lineRule="auto"/>
        <w:rPr>
          <w:rFonts w:cs="Arial"/>
          <w:color w:val="auto"/>
          <w:sz w:val="28"/>
          <w:szCs w:val="24"/>
        </w:rPr>
      </w:pPr>
      <w:bookmarkStart w:id="21" w:name="_Toc352249441"/>
      <w:r w:rsidRPr="00D14A7B">
        <w:rPr>
          <w:rFonts w:cs="Arial"/>
          <w:color w:val="auto"/>
          <w:sz w:val="20"/>
        </w:rPr>
        <w:t xml:space="preserve">Table </w:t>
      </w:r>
      <w:r w:rsidRPr="00D14A7B">
        <w:rPr>
          <w:rFonts w:cs="Arial"/>
          <w:color w:val="auto"/>
          <w:sz w:val="20"/>
        </w:rPr>
        <w:fldChar w:fldCharType="begin"/>
      </w:r>
      <w:r w:rsidRPr="00D14A7B">
        <w:rPr>
          <w:rFonts w:cs="Arial"/>
          <w:color w:val="auto"/>
          <w:sz w:val="20"/>
        </w:rPr>
        <w:instrText xml:space="preserve"> SEQ Table \* ARABIC </w:instrText>
      </w:r>
      <w:r w:rsidRPr="00D14A7B">
        <w:rPr>
          <w:rFonts w:cs="Arial"/>
          <w:color w:val="auto"/>
          <w:sz w:val="20"/>
        </w:rPr>
        <w:fldChar w:fldCharType="separate"/>
      </w:r>
      <w:r w:rsidR="00E01A3B">
        <w:rPr>
          <w:rFonts w:cs="Arial"/>
          <w:noProof/>
          <w:color w:val="auto"/>
          <w:sz w:val="20"/>
        </w:rPr>
        <w:t>1</w:t>
      </w:r>
      <w:r w:rsidRPr="00D14A7B">
        <w:rPr>
          <w:rFonts w:cs="Arial"/>
          <w:color w:val="auto"/>
          <w:sz w:val="20"/>
        </w:rPr>
        <w:fldChar w:fldCharType="end"/>
      </w:r>
      <w:r w:rsidRPr="00D14A7B">
        <w:rPr>
          <w:rFonts w:cs="Arial"/>
          <w:color w:val="auto"/>
          <w:sz w:val="20"/>
        </w:rPr>
        <w:t>: Vehicle Price and Fuel Economy by Fuel Type</w:t>
      </w:r>
      <w:bookmarkEnd w:id="21"/>
      <w:r w:rsidRPr="00D14A7B">
        <w:rPr>
          <w:rFonts w:cs="Arial"/>
          <w:color w:val="auto"/>
          <w:sz w:val="20"/>
        </w:rPr>
        <w:t xml:space="preserve"> </w:t>
      </w:r>
      <w:r w:rsidRPr="00D14A7B">
        <w:rPr>
          <w:rFonts w:cs="Arial"/>
          <w:sz w:val="20"/>
          <w:szCs w:val="24"/>
        </w:rPr>
        <w:t xml:space="preserve"> </w:t>
      </w:r>
    </w:p>
    <w:tbl>
      <w:tblPr>
        <w:tblW w:w="8565"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805"/>
        <w:gridCol w:w="1980"/>
        <w:gridCol w:w="1440"/>
        <w:gridCol w:w="2340"/>
      </w:tblGrid>
      <w:tr w:rsidR="003426F3" w:rsidRPr="00022913" w:rsidTr="003426F3">
        <w:trPr>
          <w:trHeight w:val="300"/>
        </w:trPr>
        <w:tc>
          <w:tcPr>
            <w:tcW w:w="2805" w:type="dxa"/>
            <w:vMerge w:val="restart"/>
            <w:tcBorders>
              <w:top w:val="single" w:sz="4" w:space="0" w:color="auto"/>
              <w:bottom w:val="single" w:sz="4" w:space="0" w:color="auto"/>
            </w:tcBorders>
            <w:shd w:val="clear" w:color="auto" w:fill="auto"/>
            <w:vAlign w:val="center"/>
            <w:hideMark/>
          </w:tcPr>
          <w:p w:rsidR="003426F3" w:rsidRPr="00022913" w:rsidRDefault="003426F3" w:rsidP="008A2503">
            <w:pPr>
              <w:spacing w:after="0" w:line="240" w:lineRule="auto"/>
              <w:rPr>
                <w:rFonts w:eastAsia="Times New Roman" w:cs="Arial"/>
                <w:b/>
                <w:bCs/>
                <w:color w:val="000000"/>
                <w:szCs w:val="24"/>
              </w:rPr>
            </w:pPr>
            <w:r w:rsidRPr="00022913">
              <w:rPr>
                <w:rFonts w:eastAsia="Times New Roman" w:cs="Arial"/>
                <w:b/>
                <w:bCs/>
                <w:color w:val="000000"/>
                <w:szCs w:val="24"/>
              </w:rPr>
              <w:t>Fuel</w:t>
            </w:r>
          </w:p>
        </w:tc>
        <w:tc>
          <w:tcPr>
            <w:tcW w:w="1980" w:type="dxa"/>
            <w:vMerge w:val="restart"/>
            <w:tcBorders>
              <w:top w:val="single" w:sz="4" w:space="0" w:color="auto"/>
              <w:bottom w:val="single" w:sz="4" w:space="0" w:color="auto"/>
            </w:tcBorders>
            <w:shd w:val="clear" w:color="auto" w:fill="auto"/>
            <w:vAlign w:val="center"/>
            <w:hideMark/>
          </w:tcPr>
          <w:p w:rsidR="003426F3" w:rsidRPr="00022913" w:rsidRDefault="003426F3" w:rsidP="008A2503">
            <w:pPr>
              <w:spacing w:after="0" w:line="240" w:lineRule="auto"/>
              <w:jc w:val="center"/>
              <w:rPr>
                <w:rFonts w:eastAsia="Times New Roman" w:cs="Arial"/>
                <w:b/>
                <w:bCs/>
                <w:color w:val="000000"/>
                <w:szCs w:val="24"/>
              </w:rPr>
            </w:pPr>
            <w:r w:rsidRPr="00022913">
              <w:rPr>
                <w:rFonts w:eastAsia="Times New Roman" w:cs="Arial"/>
                <w:b/>
                <w:bCs/>
                <w:color w:val="000000"/>
                <w:szCs w:val="24"/>
              </w:rPr>
              <w:t>Vehicle Base Price</w:t>
            </w:r>
          </w:p>
        </w:tc>
        <w:tc>
          <w:tcPr>
            <w:tcW w:w="1440" w:type="dxa"/>
            <w:vMerge w:val="restart"/>
            <w:tcBorders>
              <w:top w:val="single" w:sz="4" w:space="0" w:color="auto"/>
              <w:bottom w:val="single" w:sz="4" w:space="0" w:color="auto"/>
            </w:tcBorders>
            <w:shd w:val="clear" w:color="auto" w:fill="auto"/>
            <w:vAlign w:val="center"/>
            <w:hideMark/>
          </w:tcPr>
          <w:p w:rsidR="003426F3" w:rsidRPr="00022913" w:rsidRDefault="003426F3" w:rsidP="008A2503">
            <w:pPr>
              <w:spacing w:after="0" w:line="240" w:lineRule="auto"/>
              <w:jc w:val="center"/>
              <w:rPr>
                <w:rFonts w:eastAsia="Times New Roman" w:cs="Arial"/>
                <w:b/>
                <w:bCs/>
                <w:color w:val="000000"/>
                <w:szCs w:val="24"/>
              </w:rPr>
            </w:pPr>
            <w:r w:rsidRPr="00022913">
              <w:rPr>
                <w:rFonts w:eastAsia="Times New Roman" w:cs="Arial"/>
                <w:b/>
                <w:bCs/>
                <w:color w:val="000000"/>
                <w:szCs w:val="24"/>
              </w:rPr>
              <w:t>Combined MPG/e</w:t>
            </w:r>
          </w:p>
        </w:tc>
        <w:tc>
          <w:tcPr>
            <w:tcW w:w="2340" w:type="dxa"/>
            <w:vMerge w:val="restart"/>
            <w:tcBorders>
              <w:top w:val="single" w:sz="4" w:space="0" w:color="auto"/>
              <w:bottom w:val="single" w:sz="4" w:space="0" w:color="auto"/>
            </w:tcBorders>
            <w:shd w:val="clear" w:color="auto" w:fill="auto"/>
            <w:vAlign w:val="center"/>
            <w:hideMark/>
          </w:tcPr>
          <w:p w:rsidR="003426F3" w:rsidRPr="00022913" w:rsidRDefault="003426F3" w:rsidP="008A2503">
            <w:pPr>
              <w:spacing w:after="0" w:line="240" w:lineRule="auto"/>
              <w:jc w:val="center"/>
              <w:rPr>
                <w:rFonts w:eastAsia="Times New Roman" w:cs="Arial"/>
                <w:b/>
                <w:bCs/>
                <w:color w:val="000000"/>
                <w:szCs w:val="24"/>
              </w:rPr>
            </w:pPr>
            <w:r w:rsidRPr="00022913">
              <w:rPr>
                <w:rFonts w:eastAsia="Times New Roman" w:cs="Arial"/>
                <w:b/>
                <w:bCs/>
                <w:color w:val="000000"/>
                <w:szCs w:val="24"/>
              </w:rPr>
              <w:t>Fuel Consumed per 100 Miles (GGE)</w:t>
            </w:r>
          </w:p>
        </w:tc>
      </w:tr>
      <w:tr w:rsidR="003426F3" w:rsidRPr="00022913" w:rsidTr="003426F3">
        <w:trPr>
          <w:trHeight w:val="269"/>
        </w:trPr>
        <w:tc>
          <w:tcPr>
            <w:tcW w:w="2805" w:type="dxa"/>
            <w:vMerge/>
            <w:tcBorders>
              <w:top w:val="nil"/>
              <w:bottom w:val="single" w:sz="4" w:space="0" w:color="auto"/>
            </w:tcBorders>
            <w:vAlign w:val="center"/>
            <w:hideMark/>
          </w:tcPr>
          <w:p w:rsidR="003426F3" w:rsidRPr="00022913" w:rsidRDefault="003426F3" w:rsidP="008A2503">
            <w:pPr>
              <w:spacing w:after="0" w:line="240" w:lineRule="auto"/>
              <w:rPr>
                <w:rFonts w:eastAsia="Times New Roman" w:cs="Arial"/>
                <w:b/>
                <w:bCs/>
                <w:color w:val="000000"/>
                <w:szCs w:val="24"/>
              </w:rPr>
            </w:pPr>
          </w:p>
        </w:tc>
        <w:tc>
          <w:tcPr>
            <w:tcW w:w="1980" w:type="dxa"/>
            <w:vMerge/>
            <w:tcBorders>
              <w:top w:val="nil"/>
              <w:bottom w:val="single" w:sz="4" w:space="0" w:color="auto"/>
            </w:tcBorders>
            <w:vAlign w:val="center"/>
            <w:hideMark/>
          </w:tcPr>
          <w:p w:rsidR="003426F3" w:rsidRPr="00022913" w:rsidRDefault="003426F3" w:rsidP="008A2503">
            <w:pPr>
              <w:spacing w:after="0" w:line="240" w:lineRule="auto"/>
              <w:rPr>
                <w:rFonts w:eastAsia="Times New Roman" w:cs="Arial"/>
                <w:b/>
                <w:bCs/>
                <w:color w:val="000000"/>
                <w:szCs w:val="24"/>
              </w:rPr>
            </w:pPr>
          </w:p>
        </w:tc>
        <w:tc>
          <w:tcPr>
            <w:tcW w:w="1440" w:type="dxa"/>
            <w:vMerge/>
            <w:tcBorders>
              <w:top w:val="nil"/>
              <w:bottom w:val="single" w:sz="4" w:space="0" w:color="auto"/>
            </w:tcBorders>
            <w:vAlign w:val="center"/>
            <w:hideMark/>
          </w:tcPr>
          <w:p w:rsidR="003426F3" w:rsidRPr="00022913" w:rsidRDefault="003426F3" w:rsidP="008A2503">
            <w:pPr>
              <w:spacing w:after="0" w:line="240" w:lineRule="auto"/>
              <w:jc w:val="center"/>
              <w:rPr>
                <w:rFonts w:eastAsia="Times New Roman" w:cs="Arial"/>
                <w:b/>
                <w:bCs/>
                <w:color w:val="000000"/>
                <w:szCs w:val="24"/>
              </w:rPr>
            </w:pPr>
          </w:p>
        </w:tc>
        <w:tc>
          <w:tcPr>
            <w:tcW w:w="2340" w:type="dxa"/>
            <w:vMerge/>
            <w:tcBorders>
              <w:top w:val="nil"/>
              <w:bottom w:val="single" w:sz="4" w:space="0" w:color="auto"/>
            </w:tcBorders>
            <w:vAlign w:val="center"/>
            <w:hideMark/>
          </w:tcPr>
          <w:p w:rsidR="003426F3" w:rsidRPr="00022913" w:rsidRDefault="003426F3" w:rsidP="008A2503">
            <w:pPr>
              <w:spacing w:after="0" w:line="240" w:lineRule="auto"/>
              <w:jc w:val="center"/>
              <w:rPr>
                <w:rFonts w:eastAsia="Times New Roman" w:cs="Arial"/>
                <w:b/>
                <w:bCs/>
                <w:color w:val="000000"/>
                <w:szCs w:val="24"/>
              </w:rPr>
            </w:pPr>
          </w:p>
        </w:tc>
      </w:tr>
      <w:tr w:rsidR="003426F3" w:rsidRPr="00022913" w:rsidTr="003426F3">
        <w:trPr>
          <w:trHeight w:val="70"/>
        </w:trPr>
        <w:tc>
          <w:tcPr>
            <w:tcW w:w="2805" w:type="dxa"/>
            <w:tcBorders>
              <w:top w:val="single" w:sz="4" w:space="0" w:color="auto"/>
            </w:tcBorders>
            <w:shd w:val="clear" w:color="auto" w:fill="auto"/>
            <w:noWrap/>
            <w:vAlign w:val="bottom"/>
            <w:hideMark/>
          </w:tcPr>
          <w:p w:rsidR="003426F3" w:rsidRPr="00022913" w:rsidRDefault="003426F3" w:rsidP="008A2503">
            <w:pPr>
              <w:spacing w:after="0" w:line="240" w:lineRule="auto"/>
              <w:rPr>
                <w:rFonts w:eastAsia="Times New Roman" w:cs="Arial"/>
                <w:color w:val="000000"/>
                <w:szCs w:val="24"/>
              </w:rPr>
            </w:pPr>
            <w:r w:rsidRPr="00022913">
              <w:rPr>
                <w:rFonts w:eastAsia="Times New Roman" w:cs="Arial"/>
                <w:color w:val="000000"/>
                <w:szCs w:val="24"/>
              </w:rPr>
              <w:t>Gasoline</w:t>
            </w:r>
          </w:p>
        </w:tc>
        <w:tc>
          <w:tcPr>
            <w:tcW w:w="1980" w:type="dxa"/>
            <w:tcBorders>
              <w:top w:val="single" w:sz="4" w:space="0" w:color="auto"/>
            </w:tcBorders>
            <w:shd w:val="clear" w:color="auto" w:fill="auto"/>
            <w:noWrap/>
            <w:vAlign w:val="bottom"/>
            <w:hideMark/>
          </w:tcPr>
          <w:p w:rsidR="003426F3" w:rsidRPr="00022913" w:rsidRDefault="003426F3" w:rsidP="003426F3">
            <w:pPr>
              <w:spacing w:after="0" w:line="240" w:lineRule="auto"/>
              <w:ind w:right="342"/>
              <w:jc w:val="center"/>
              <w:rPr>
                <w:rFonts w:eastAsia="Times New Roman" w:cs="Arial"/>
                <w:color w:val="000000"/>
                <w:szCs w:val="24"/>
              </w:rPr>
            </w:pPr>
            <w:r w:rsidRPr="00022913">
              <w:rPr>
                <w:rFonts w:eastAsia="Times New Roman" w:cs="Arial"/>
                <w:color w:val="000000"/>
                <w:szCs w:val="24"/>
              </w:rPr>
              <w:t>$19,170</w:t>
            </w:r>
          </w:p>
        </w:tc>
        <w:tc>
          <w:tcPr>
            <w:tcW w:w="1440" w:type="dxa"/>
            <w:tcBorders>
              <w:top w:val="single" w:sz="4" w:space="0" w:color="auto"/>
            </w:tcBorders>
            <w:shd w:val="clear" w:color="auto" w:fill="auto"/>
            <w:noWrap/>
            <w:vAlign w:val="bottom"/>
            <w:hideMark/>
          </w:tcPr>
          <w:p w:rsidR="003426F3" w:rsidRPr="00022913" w:rsidRDefault="003426F3" w:rsidP="008A2503">
            <w:pPr>
              <w:spacing w:after="0" w:line="240" w:lineRule="auto"/>
              <w:jc w:val="center"/>
              <w:rPr>
                <w:rFonts w:eastAsia="Times New Roman" w:cs="Arial"/>
                <w:color w:val="000000"/>
                <w:szCs w:val="24"/>
              </w:rPr>
            </w:pPr>
            <w:r w:rsidRPr="00022913">
              <w:rPr>
                <w:rFonts w:eastAsia="Times New Roman" w:cs="Arial"/>
                <w:color w:val="000000"/>
                <w:szCs w:val="24"/>
              </w:rPr>
              <w:t>27.2</w:t>
            </w:r>
          </w:p>
        </w:tc>
        <w:tc>
          <w:tcPr>
            <w:tcW w:w="2340" w:type="dxa"/>
            <w:tcBorders>
              <w:top w:val="single" w:sz="4" w:space="0" w:color="auto"/>
            </w:tcBorders>
            <w:shd w:val="clear" w:color="auto" w:fill="auto"/>
            <w:noWrap/>
            <w:vAlign w:val="bottom"/>
            <w:hideMark/>
          </w:tcPr>
          <w:p w:rsidR="003426F3" w:rsidRPr="00022913" w:rsidRDefault="003426F3" w:rsidP="008A2503">
            <w:pPr>
              <w:spacing w:after="0" w:line="240" w:lineRule="auto"/>
              <w:jc w:val="center"/>
              <w:rPr>
                <w:rFonts w:eastAsia="Times New Roman" w:cs="Arial"/>
                <w:color w:val="000000"/>
                <w:szCs w:val="24"/>
              </w:rPr>
            </w:pPr>
            <w:r w:rsidRPr="00022913">
              <w:rPr>
                <w:rFonts w:eastAsia="Times New Roman" w:cs="Arial"/>
                <w:color w:val="000000"/>
                <w:szCs w:val="24"/>
              </w:rPr>
              <w:t>3.7</w:t>
            </w:r>
          </w:p>
        </w:tc>
      </w:tr>
      <w:tr w:rsidR="003426F3" w:rsidRPr="00022913" w:rsidTr="003426F3">
        <w:trPr>
          <w:trHeight w:val="80"/>
        </w:trPr>
        <w:tc>
          <w:tcPr>
            <w:tcW w:w="2805" w:type="dxa"/>
            <w:shd w:val="clear" w:color="auto" w:fill="auto"/>
            <w:noWrap/>
            <w:vAlign w:val="bottom"/>
            <w:hideMark/>
          </w:tcPr>
          <w:p w:rsidR="003426F3" w:rsidRPr="00022913" w:rsidRDefault="003426F3" w:rsidP="008A2503">
            <w:pPr>
              <w:spacing w:after="0" w:line="240" w:lineRule="auto"/>
              <w:rPr>
                <w:rFonts w:eastAsia="Times New Roman" w:cs="Arial"/>
                <w:color w:val="000000"/>
                <w:szCs w:val="24"/>
              </w:rPr>
            </w:pPr>
            <w:r w:rsidRPr="00022913">
              <w:rPr>
                <w:rFonts w:eastAsia="Times New Roman" w:cs="Arial"/>
                <w:color w:val="000000"/>
                <w:szCs w:val="24"/>
              </w:rPr>
              <w:t>Diesel</w:t>
            </w:r>
          </w:p>
        </w:tc>
        <w:tc>
          <w:tcPr>
            <w:tcW w:w="1980" w:type="dxa"/>
            <w:shd w:val="clear" w:color="auto" w:fill="auto"/>
            <w:noWrap/>
            <w:vAlign w:val="bottom"/>
            <w:hideMark/>
          </w:tcPr>
          <w:p w:rsidR="003426F3" w:rsidRPr="00022913" w:rsidRDefault="003426F3" w:rsidP="003426F3">
            <w:pPr>
              <w:spacing w:after="0" w:line="240" w:lineRule="auto"/>
              <w:ind w:right="342"/>
              <w:jc w:val="center"/>
              <w:rPr>
                <w:rFonts w:eastAsia="Times New Roman" w:cs="Arial"/>
                <w:color w:val="000000"/>
                <w:szCs w:val="24"/>
              </w:rPr>
            </w:pPr>
            <w:r w:rsidRPr="00022913">
              <w:rPr>
                <w:rFonts w:eastAsia="Times New Roman" w:cs="Arial"/>
                <w:color w:val="000000"/>
                <w:szCs w:val="24"/>
              </w:rPr>
              <w:t>$21,148</w:t>
            </w:r>
          </w:p>
        </w:tc>
        <w:tc>
          <w:tcPr>
            <w:tcW w:w="1440" w:type="dxa"/>
            <w:shd w:val="clear" w:color="auto" w:fill="auto"/>
            <w:noWrap/>
            <w:vAlign w:val="bottom"/>
            <w:hideMark/>
          </w:tcPr>
          <w:p w:rsidR="003426F3" w:rsidRPr="00022913" w:rsidRDefault="003426F3" w:rsidP="008A2503">
            <w:pPr>
              <w:spacing w:after="0" w:line="240" w:lineRule="auto"/>
              <w:jc w:val="center"/>
              <w:rPr>
                <w:rFonts w:eastAsia="Times New Roman" w:cs="Arial"/>
                <w:color w:val="000000"/>
                <w:szCs w:val="24"/>
              </w:rPr>
            </w:pPr>
            <w:r w:rsidRPr="00022913">
              <w:rPr>
                <w:rFonts w:eastAsia="Times New Roman" w:cs="Arial"/>
                <w:color w:val="000000"/>
                <w:szCs w:val="24"/>
              </w:rPr>
              <w:t>33.9</w:t>
            </w:r>
          </w:p>
        </w:tc>
        <w:tc>
          <w:tcPr>
            <w:tcW w:w="2340" w:type="dxa"/>
            <w:shd w:val="clear" w:color="auto" w:fill="auto"/>
            <w:noWrap/>
            <w:vAlign w:val="bottom"/>
            <w:hideMark/>
          </w:tcPr>
          <w:p w:rsidR="003426F3" w:rsidRPr="00022913" w:rsidRDefault="003426F3" w:rsidP="008A2503">
            <w:pPr>
              <w:spacing w:after="0" w:line="240" w:lineRule="auto"/>
              <w:jc w:val="center"/>
              <w:rPr>
                <w:rFonts w:eastAsia="Times New Roman" w:cs="Arial"/>
                <w:color w:val="000000"/>
                <w:szCs w:val="24"/>
              </w:rPr>
            </w:pPr>
            <w:r w:rsidRPr="00022913">
              <w:rPr>
                <w:rFonts w:eastAsia="Times New Roman" w:cs="Arial"/>
                <w:color w:val="000000"/>
                <w:szCs w:val="24"/>
              </w:rPr>
              <w:t>2.9</w:t>
            </w:r>
          </w:p>
        </w:tc>
      </w:tr>
      <w:tr w:rsidR="003426F3" w:rsidRPr="00022913" w:rsidTr="003426F3">
        <w:trPr>
          <w:trHeight w:val="80"/>
        </w:trPr>
        <w:tc>
          <w:tcPr>
            <w:tcW w:w="2805" w:type="dxa"/>
            <w:shd w:val="clear" w:color="auto" w:fill="auto"/>
            <w:noWrap/>
            <w:vAlign w:val="bottom"/>
          </w:tcPr>
          <w:p w:rsidR="003426F3" w:rsidRPr="00022913" w:rsidRDefault="003426F3" w:rsidP="008A2503">
            <w:pPr>
              <w:spacing w:after="0" w:line="240" w:lineRule="auto"/>
              <w:rPr>
                <w:rFonts w:eastAsia="Times New Roman" w:cs="Arial"/>
                <w:color w:val="000000"/>
                <w:szCs w:val="24"/>
              </w:rPr>
            </w:pPr>
            <w:r w:rsidRPr="00022913">
              <w:rPr>
                <w:rFonts w:eastAsia="Times New Roman" w:cs="Arial"/>
                <w:color w:val="000000"/>
                <w:szCs w:val="24"/>
              </w:rPr>
              <w:t>Compressed Natural Gas</w:t>
            </w:r>
          </w:p>
        </w:tc>
        <w:tc>
          <w:tcPr>
            <w:tcW w:w="1980" w:type="dxa"/>
            <w:shd w:val="clear" w:color="auto" w:fill="auto"/>
            <w:noWrap/>
            <w:vAlign w:val="bottom"/>
          </w:tcPr>
          <w:p w:rsidR="003426F3" w:rsidRPr="00022913" w:rsidRDefault="003426F3" w:rsidP="003426F3">
            <w:pPr>
              <w:spacing w:after="0" w:line="240" w:lineRule="auto"/>
              <w:ind w:right="342"/>
              <w:jc w:val="center"/>
              <w:rPr>
                <w:rFonts w:eastAsia="Times New Roman" w:cs="Arial"/>
                <w:color w:val="000000"/>
                <w:szCs w:val="24"/>
              </w:rPr>
            </w:pPr>
            <w:r w:rsidRPr="00022913">
              <w:rPr>
                <w:rFonts w:eastAsia="Times New Roman" w:cs="Arial"/>
                <w:color w:val="000000"/>
                <w:szCs w:val="24"/>
              </w:rPr>
              <w:t>$26,155</w:t>
            </w:r>
          </w:p>
        </w:tc>
        <w:tc>
          <w:tcPr>
            <w:tcW w:w="1440" w:type="dxa"/>
            <w:shd w:val="clear" w:color="auto" w:fill="auto"/>
            <w:noWrap/>
            <w:vAlign w:val="bottom"/>
          </w:tcPr>
          <w:p w:rsidR="003426F3" w:rsidRPr="00022913" w:rsidRDefault="003426F3" w:rsidP="008A2503">
            <w:pPr>
              <w:spacing w:after="0" w:line="240" w:lineRule="auto"/>
              <w:jc w:val="center"/>
              <w:rPr>
                <w:rFonts w:eastAsia="Times New Roman" w:cs="Arial"/>
                <w:color w:val="000000"/>
                <w:szCs w:val="24"/>
              </w:rPr>
            </w:pPr>
            <w:r w:rsidRPr="00022913">
              <w:rPr>
                <w:rFonts w:eastAsia="Times New Roman" w:cs="Arial"/>
                <w:color w:val="000000"/>
                <w:szCs w:val="24"/>
              </w:rPr>
              <w:t>31</w:t>
            </w:r>
            <w:r>
              <w:rPr>
                <w:rFonts w:eastAsia="Times New Roman" w:cs="Arial"/>
                <w:color w:val="000000"/>
                <w:szCs w:val="24"/>
              </w:rPr>
              <w:t>.0</w:t>
            </w:r>
          </w:p>
        </w:tc>
        <w:tc>
          <w:tcPr>
            <w:tcW w:w="2340" w:type="dxa"/>
            <w:shd w:val="clear" w:color="auto" w:fill="auto"/>
            <w:noWrap/>
            <w:vAlign w:val="bottom"/>
          </w:tcPr>
          <w:p w:rsidR="003426F3" w:rsidRPr="00022913" w:rsidRDefault="003426F3" w:rsidP="008A2503">
            <w:pPr>
              <w:spacing w:after="0" w:line="240" w:lineRule="auto"/>
              <w:jc w:val="center"/>
              <w:rPr>
                <w:rFonts w:eastAsia="Times New Roman" w:cs="Arial"/>
                <w:color w:val="000000"/>
                <w:szCs w:val="24"/>
              </w:rPr>
            </w:pPr>
            <w:r w:rsidRPr="00022913">
              <w:rPr>
                <w:rFonts w:eastAsia="Times New Roman" w:cs="Arial"/>
                <w:color w:val="000000"/>
                <w:szCs w:val="24"/>
              </w:rPr>
              <w:t>3.2</w:t>
            </w:r>
          </w:p>
        </w:tc>
      </w:tr>
      <w:tr w:rsidR="003426F3" w:rsidRPr="00022913" w:rsidTr="003426F3">
        <w:trPr>
          <w:trHeight w:val="80"/>
        </w:trPr>
        <w:tc>
          <w:tcPr>
            <w:tcW w:w="2805" w:type="dxa"/>
            <w:shd w:val="clear" w:color="auto" w:fill="auto"/>
            <w:noWrap/>
            <w:vAlign w:val="bottom"/>
            <w:hideMark/>
          </w:tcPr>
          <w:p w:rsidR="003426F3" w:rsidRPr="00022913" w:rsidRDefault="003426F3" w:rsidP="008A2503">
            <w:pPr>
              <w:spacing w:after="0" w:line="240" w:lineRule="auto"/>
              <w:rPr>
                <w:rFonts w:eastAsia="Times New Roman" w:cs="Arial"/>
                <w:color w:val="000000"/>
                <w:szCs w:val="24"/>
              </w:rPr>
            </w:pPr>
            <w:r w:rsidRPr="00022913">
              <w:rPr>
                <w:rFonts w:eastAsia="Times New Roman" w:cs="Arial"/>
                <w:color w:val="000000"/>
                <w:szCs w:val="24"/>
              </w:rPr>
              <w:t>Electricity (BEV)</w:t>
            </w:r>
          </w:p>
        </w:tc>
        <w:tc>
          <w:tcPr>
            <w:tcW w:w="1980" w:type="dxa"/>
            <w:shd w:val="clear" w:color="auto" w:fill="auto"/>
            <w:noWrap/>
            <w:vAlign w:val="bottom"/>
            <w:hideMark/>
          </w:tcPr>
          <w:p w:rsidR="003426F3" w:rsidRPr="00022913" w:rsidRDefault="003426F3" w:rsidP="003426F3">
            <w:pPr>
              <w:spacing w:after="0" w:line="240" w:lineRule="auto"/>
              <w:ind w:right="342"/>
              <w:jc w:val="center"/>
              <w:rPr>
                <w:rFonts w:eastAsia="Times New Roman" w:cs="Arial"/>
                <w:color w:val="000000"/>
                <w:szCs w:val="24"/>
              </w:rPr>
            </w:pPr>
            <w:r w:rsidRPr="00022913">
              <w:rPr>
                <w:rFonts w:eastAsia="Times New Roman" w:cs="Arial"/>
                <w:color w:val="000000"/>
                <w:szCs w:val="24"/>
              </w:rPr>
              <w:t>$42,177</w:t>
            </w:r>
          </w:p>
        </w:tc>
        <w:tc>
          <w:tcPr>
            <w:tcW w:w="1440" w:type="dxa"/>
            <w:shd w:val="clear" w:color="auto" w:fill="auto"/>
            <w:noWrap/>
            <w:vAlign w:val="bottom"/>
            <w:hideMark/>
          </w:tcPr>
          <w:p w:rsidR="003426F3" w:rsidRPr="00022913" w:rsidRDefault="003426F3" w:rsidP="008A2503">
            <w:pPr>
              <w:spacing w:after="0" w:line="240" w:lineRule="auto"/>
              <w:jc w:val="center"/>
              <w:rPr>
                <w:rFonts w:eastAsia="Times New Roman" w:cs="Arial"/>
                <w:color w:val="000000"/>
                <w:szCs w:val="24"/>
              </w:rPr>
            </w:pPr>
            <w:r w:rsidRPr="00022913">
              <w:rPr>
                <w:rFonts w:eastAsia="Times New Roman" w:cs="Arial"/>
                <w:color w:val="000000"/>
                <w:szCs w:val="24"/>
              </w:rPr>
              <w:t>98.6</w:t>
            </w:r>
          </w:p>
        </w:tc>
        <w:tc>
          <w:tcPr>
            <w:tcW w:w="2340" w:type="dxa"/>
            <w:shd w:val="clear" w:color="auto" w:fill="auto"/>
            <w:noWrap/>
            <w:vAlign w:val="bottom"/>
            <w:hideMark/>
          </w:tcPr>
          <w:p w:rsidR="003426F3" w:rsidRPr="00022913" w:rsidRDefault="003426F3" w:rsidP="008A2503">
            <w:pPr>
              <w:spacing w:after="0" w:line="240" w:lineRule="auto"/>
              <w:jc w:val="center"/>
              <w:rPr>
                <w:rFonts w:eastAsia="Times New Roman" w:cs="Arial"/>
                <w:color w:val="000000"/>
                <w:szCs w:val="24"/>
              </w:rPr>
            </w:pPr>
            <w:r w:rsidRPr="00022913">
              <w:rPr>
                <w:rFonts w:eastAsia="Times New Roman" w:cs="Arial"/>
                <w:color w:val="000000"/>
                <w:szCs w:val="24"/>
              </w:rPr>
              <w:t>1.0</w:t>
            </w:r>
          </w:p>
        </w:tc>
      </w:tr>
      <w:tr w:rsidR="003426F3" w:rsidRPr="00022913" w:rsidTr="003426F3">
        <w:trPr>
          <w:trHeight w:val="80"/>
        </w:trPr>
        <w:tc>
          <w:tcPr>
            <w:tcW w:w="2805" w:type="dxa"/>
            <w:shd w:val="clear" w:color="auto" w:fill="auto"/>
            <w:noWrap/>
            <w:vAlign w:val="bottom"/>
          </w:tcPr>
          <w:p w:rsidR="003426F3" w:rsidRPr="00022913" w:rsidRDefault="003426F3" w:rsidP="008A2503">
            <w:pPr>
              <w:spacing w:after="0" w:line="240" w:lineRule="auto"/>
              <w:rPr>
                <w:rFonts w:eastAsia="Times New Roman" w:cs="Arial"/>
                <w:color w:val="000000"/>
                <w:szCs w:val="24"/>
              </w:rPr>
            </w:pPr>
            <w:r w:rsidRPr="00022913">
              <w:rPr>
                <w:rFonts w:eastAsia="Times New Roman" w:cs="Arial"/>
                <w:color w:val="000000"/>
                <w:szCs w:val="24"/>
              </w:rPr>
              <w:t>Hydrogen</w:t>
            </w:r>
          </w:p>
        </w:tc>
        <w:tc>
          <w:tcPr>
            <w:tcW w:w="1980" w:type="dxa"/>
            <w:shd w:val="clear" w:color="auto" w:fill="auto"/>
            <w:noWrap/>
            <w:vAlign w:val="bottom"/>
          </w:tcPr>
          <w:p w:rsidR="003426F3" w:rsidRPr="00022913" w:rsidRDefault="003426F3" w:rsidP="003426F3">
            <w:pPr>
              <w:spacing w:after="0" w:line="240" w:lineRule="auto"/>
              <w:ind w:right="342"/>
              <w:jc w:val="center"/>
              <w:rPr>
                <w:rFonts w:eastAsia="Times New Roman" w:cs="Arial"/>
                <w:color w:val="000000"/>
                <w:szCs w:val="24"/>
              </w:rPr>
            </w:pPr>
            <w:r w:rsidRPr="00022913">
              <w:rPr>
                <w:rFonts w:eastAsia="Times New Roman" w:cs="Arial"/>
                <w:color w:val="000000"/>
                <w:szCs w:val="24"/>
              </w:rPr>
              <w:t>-</w:t>
            </w:r>
          </w:p>
        </w:tc>
        <w:tc>
          <w:tcPr>
            <w:tcW w:w="1440" w:type="dxa"/>
            <w:shd w:val="clear" w:color="auto" w:fill="auto"/>
            <w:noWrap/>
            <w:vAlign w:val="bottom"/>
          </w:tcPr>
          <w:p w:rsidR="003426F3" w:rsidRPr="00022913" w:rsidRDefault="003426F3" w:rsidP="008A2503">
            <w:pPr>
              <w:spacing w:after="0" w:line="240" w:lineRule="auto"/>
              <w:jc w:val="center"/>
              <w:rPr>
                <w:rFonts w:eastAsia="Times New Roman" w:cs="Arial"/>
                <w:color w:val="000000"/>
                <w:szCs w:val="24"/>
              </w:rPr>
            </w:pPr>
            <w:r w:rsidRPr="00022913">
              <w:rPr>
                <w:rFonts w:eastAsia="Times New Roman" w:cs="Arial"/>
                <w:color w:val="000000"/>
                <w:szCs w:val="24"/>
              </w:rPr>
              <w:t>61</w:t>
            </w:r>
            <w:r>
              <w:rPr>
                <w:rFonts w:eastAsia="Times New Roman" w:cs="Arial"/>
                <w:color w:val="000000"/>
                <w:szCs w:val="24"/>
              </w:rPr>
              <w:t>.0</w:t>
            </w:r>
          </w:p>
        </w:tc>
        <w:tc>
          <w:tcPr>
            <w:tcW w:w="2340" w:type="dxa"/>
            <w:shd w:val="clear" w:color="auto" w:fill="auto"/>
            <w:vAlign w:val="bottom"/>
          </w:tcPr>
          <w:p w:rsidR="003426F3" w:rsidRPr="00022913" w:rsidRDefault="003426F3" w:rsidP="008A2503">
            <w:pPr>
              <w:spacing w:after="0" w:line="240" w:lineRule="auto"/>
              <w:jc w:val="center"/>
              <w:rPr>
                <w:rFonts w:eastAsia="Times New Roman" w:cs="Arial"/>
                <w:color w:val="000000"/>
                <w:szCs w:val="24"/>
              </w:rPr>
            </w:pPr>
            <w:r w:rsidRPr="00022913">
              <w:rPr>
                <w:rFonts w:eastAsia="Times New Roman" w:cs="Arial"/>
                <w:color w:val="000000"/>
                <w:szCs w:val="24"/>
              </w:rPr>
              <w:t>1.6</w:t>
            </w:r>
          </w:p>
        </w:tc>
      </w:tr>
      <w:tr w:rsidR="003426F3" w:rsidRPr="00022913" w:rsidTr="003426F3">
        <w:trPr>
          <w:trHeight w:val="300"/>
        </w:trPr>
        <w:tc>
          <w:tcPr>
            <w:tcW w:w="2805" w:type="dxa"/>
            <w:shd w:val="clear" w:color="auto" w:fill="auto"/>
            <w:noWrap/>
            <w:vAlign w:val="bottom"/>
            <w:hideMark/>
          </w:tcPr>
          <w:p w:rsidR="003426F3" w:rsidRPr="00022913" w:rsidRDefault="003426F3" w:rsidP="008A2503">
            <w:pPr>
              <w:spacing w:after="0" w:line="240" w:lineRule="auto"/>
              <w:rPr>
                <w:rFonts w:eastAsia="Times New Roman" w:cs="Arial"/>
                <w:color w:val="000000"/>
                <w:szCs w:val="24"/>
              </w:rPr>
            </w:pPr>
            <w:r w:rsidRPr="00022913">
              <w:rPr>
                <w:rFonts w:eastAsia="Times New Roman" w:cs="Arial"/>
                <w:color w:val="000000"/>
                <w:szCs w:val="24"/>
              </w:rPr>
              <w:t>Biofuel (flex-fuel using E85)</w:t>
            </w:r>
          </w:p>
        </w:tc>
        <w:tc>
          <w:tcPr>
            <w:tcW w:w="1980" w:type="dxa"/>
            <w:shd w:val="clear" w:color="auto" w:fill="auto"/>
            <w:noWrap/>
            <w:vAlign w:val="bottom"/>
            <w:hideMark/>
          </w:tcPr>
          <w:p w:rsidR="003426F3" w:rsidRPr="00022913" w:rsidRDefault="003426F3" w:rsidP="003426F3">
            <w:pPr>
              <w:spacing w:after="0" w:line="240" w:lineRule="auto"/>
              <w:ind w:right="342"/>
              <w:jc w:val="center"/>
              <w:rPr>
                <w:rFonts w:eastAsia="Times New Roman" w:cs="Arial"/>
                <w:color w:val="000000"/>
                <w:szCs w:val="24"/>
              </w:rPr>
            </w:pPr>
            <w:r w:rsidRPr="00022913">
              <w:rPr>
                <w:rFonts w:eastAsia="Times New Roman" w:cs="Arial"/>
                <w:color w:val="000000"/>
                <w:szCs w:val="24"/>
              </w:rPr>
              <w:t>$21,561</w:t>
            </w:r>
          </w:p>
        </w:tc>
        <w:tc>
          <w:tcPr>
            <w:tcW w:w="1440" w:type="dxa"/>
            <w:shd w:val="clear" w:color="auto" w:fill="auto"/>
            <w:noWrap/>
            <w:vAlign w:val="bottom"/>
            <w:hideMark/>
          </w:tcPr>
          <w:p w:rsidR="003426F3" w:rsidRPr="00022913" w:rsidRDefault="003426F3" w:rsidP="008A2503">
            <w:pPr>
              <w:spacing w:after="0" w:line="240" w:lineRule="auto"/>
              <w:jc w:val="center"/>
              <w:rPr>
                <w:rFonts w:eastAsia="Times New Roman" w:cs="Arial"/>
                <w:color w:val="000000"/>
                <w:szCs w:val="24"/>
              </w:rPr>
            </w:pPr>
            <w:r w:rsidRPr="00022913">
              <w:rPr>
                <w:rFonts w:eastAsia="Times New Roman" w:cs="Arial"/>
                <w:color w:val="000000"/>
                <w:szCs w:val="24"/>
              </w:rPr>
              <w:t>17.4</w:t>
            </w:r>
          </w:p>
        </w:tc>
        <w:tc>
          <w:tcPr>
            <w:tcW w:w="2340" w:type="dxa"/>
            <w:shd w:val="clear" w:color="auto" w:fill="auto"/>
            <w:vAlign w:val="bottom"/>
            <w:hideMark/>
          </w:tcPr>
          <w:p w:rsidR="003426F3" w:rsidRPr="00022913" w:rsidRDefault="003426F3" w:rsidP="008A2503">
            <w:pPr>
              <w:spacing w:after="0" w:line="240" w:lineRule="auto"/>
              <w:jc w:val="center"/>
              <w:rPr>
                <w:rFonts w:eastAsia="Times New Roman" w:cs="Arial"/>
                <w:color w:val="000000"/>
                <w:szCs w:val="24"/>
              </w:rPr>
            </w:pPr>
            <w:r w:rsidRPr="00022913">
              <w:rPr>
                <w:rFonts w:eastAsia="Times New Roman" w:cs="Arial"/>
                <w:color w:val="000000"/>
                <w:szCs w:val="24"/>
              </w:rPr>
              <w:t>5.8</w:t>
            </w:r>
          </w:p>
        </w:tc>
      </w:tr>
    </w:tbl>
    <w:p w:rsidR="003426F3" w:rsidRDefault="003426F3" w:rsidP="003426F3">
      <w:pPr>
        <w:spacing w:after="0" w:line="240" w:lineRule="auto"/>
        <w:rPr>
          <w:rFonts w:cs="Arial"/>
          <w:sz w:val="18"/>
          <w:szCs w:val="24"/>
        </w:rPr>
      </w:pPr>
      <w:r w:rsidRPr="00027429">
        <w:rPr>
          <w:rFonts w:cs="Arial"/>
          <w:sz w:val="18"/>
          <w:szCs w:val="24"/>
        </w:rPr>
        <w:t>Note: The average consumption for BEVs was 34.9 kilowatt-hours (kWh) per 100 miles traveled. One gallon of gasoline contains energy equivalent to 33.7 kWh: 34.9/33.7 ≈ 1.04. The Honda Civic CNG and Honda FCX Clarity were used as representative vehicles for CNG and Hydrogen due to lack of data on other vehicles. Price information on the Honda FCX Clarity was not available.</w:t>
      </w:r>
    </w:p>
    <w:p w:rsidR="003426F3" w:rsidRDefault="003426F3" w:rsidP="003426F3">
      <w:pPr>
        <w:rPr>
          <w:rFonts w:cs="Arial"/>
          <w:i/>
          <w:sz w:val="20"/>
          <w:szCs w:val="24"/>
        </w:rPr>
      </w:pPr>
      <w:r w:rsidRPr="008720F3">
        <w:rPr>
          <w:rFonts w:cs="Arial"/>
          <w:i/>
          <w:sz w:val="20"/>
          <w:szCs w:val="24"/>
        </w:rPr>
        <w:t>Source: EERE 2013 and Honda 2013</w:t>
      </w:r>
    </w:p>
    <w:p w:rsidR="003426F3" w:rsidRPr="00D14A7B" w:rsidRDefault="003426F3" w:rsidP="003426F3">
      <w:pPr>
        <w:rPr>
          <w:rFonts w:cs="Arial"/>
        </w:rPr>
      </w:pPr>
    </w:p>
    <w:p w:rsidR="003B2001" w:rsidRPr="008720F3" w:rsidRDefault="003B2001" w:rsidP="001F4DED">
      <w:pPr>
        <w:spacing w:after="0" w:line="240" w:lineRule="auto"/>
        <w:rPr>
          <w:rFonts w:cs="Arial"/>
          <w:i/>
          <w:sz w:val="20"/>
          <w:szCs w:val="24"/>
        </w:rPr>
      </w:pPr>
      <w:r w:rsidRPr="008720F3">
        <w:rPr>
          <w:rFonts w:cs="Arial"/>
          <w:b/>
          <w:sz w:val="24"/>
          <w:szCs w:val="24"/>
        </w:rPr>
        <w:br w:type="page"/>
      </w:r>
    </w:p>
    <w:p w:rsidR="0078480F" w:rsidRPr="008720F3" w:rsidRDefault="0078480F" w:rsidP="00022913">
      <w:pPr>
        <w:pStyle w:val="Heading1"/>
      </w:pPr>
      <w:bookmarkStart w:id="22" w:name="_Toc352854179"/>
      <w:r w:rsidRPr="008720F3">
        <w:lastRenderedPageBreak/>
        <w:t>CASE STUDIES</w:t>
      </w:r>
      <w:bookmarkEnd w:id="22"/>
    </w:p>
    <w:p w:rsidR="00DE542F" w:rsidRPr="00022913" w:rsidRDefault="00DE542F" w:rsidP="006A3DDB">
      <w:pPr>
        <w:rPr>
          <w:rFonts w:cs="Arial"/>
          <w:szCs w:val="24"/>
        </w:rPr>
      </w:pPr>
      <w:r w:rsidRPr="00022913">
        <w:rPr>
          <w:rFonts w:cs="Arial"/>
          <w:szCs w:val="24"/>
        </w:rPr>
        <w:t>This section documents some high-profile examples of large investments in which new, sustainable technologies have seen significant adoption and displaced incumbent technologies. The</w:t>
      </w:r>
      <w:r w:rsidR="009C2695" w:rsidRPr="00022913">
        <w:rPr>
          <w:rFonts w:cs="Arial"/>
          <w:szCs w:val="24"/>
        </w:rPr>
        <w:t>se</w:t>
      </w:r>
      <w:r w:rsidRPr="00022913">
        <w:rPr>
          <w:rFonts w:cs="Arial"/>
          <w:szCs w:val="24"/>
        </w:rPr>
        <w:t xml:space="preserve"> case studies include the production of E85 and adoption of flex-fuel vehicles in Brazil, the spread of diesel technology in the European light-duty vehicle fleet, and the development of renewable energy capacity in Germany. </w:t>
      </w:r>
    </w:p>
    <w:p w:rsidR="0078480F" w:rsidRPr="008720F3" w:rsidRDefault="0078480F" w:rsidP="00022913">
      <w:pPr>
        <w:pStyle w:val="Heading2"/>
      </w:pPr>
      <w:bookmarkStart w:id="23" w:name="_Toc352854180"/>
      <w:r w:rsidRPr="008720F3">
        <w:t xml:space="preserve">Biofuels </w:t>
      </w:r>
      <w:r w:rsidR="00D76E43" w:rsidRPr="008720F3">
        <w:t xml:space="preserve">Growth </w:t>
      </w:r>
      <w:r w:rsidRPr="008720F3">
        <w:t>in Brazil</w:t>
      </w:r>
      <w:bookmarkEnd w:id="23"/>
    </w:p>
    <w:p w:rsidR="0078480F" w:rsidRPr="00022913" w:rsidRDefault="0078480F" w:rsidP="0078480F">
      <w:pPr>
        <w:rPr>
          <w:rFonts w:cs="Arial"/>
          <w:szCs w:val="24"/>
        </w:rPr>
      </w:pPr>
      <w:r w:rsidRPr="00022913">
        <w:rPr>
          <w:rFonts w:cs="Arial"/>
          <w:szCs w:val="24"/>
        </w:rPr>
        <w:t>Brazil is well known as the dominant country for ethanol production and consumption. Its inexpensive sugarcane ethanol is competitive with gasoline</w:t>
      </w:r>
      <w:r w:rsidR="009C2695" w:rsidRPr="00022913">
        <w:rPr>
          <w:rFonts w:cs="Arial"/>
          <w:szCs w:val="24"/>
        </w:rPr>
        <w:t>,</w:t>
      </w:r>
      <w:r w:rsidRPr="00022913">
        <w:rPr>
          <w:rFonts w:cs="Arial"/>
          <w:szCs w:val="24"/>
        </w:rPr>
        <w:t xml:space="preserve"> and its vehicle fleet can largely run off of a wide variety of gasoline-ethanol blends. Much of Brazil’s prominence in the ethanol market is due to government involvement (</w:t>
      </w:r>
      <w:r w:rsidR="009C2695" w:rsidRPr="00022913">
        <w:rPr>
          <w:rFonts w:cs="Arial"/>
          <w:szCs w:val="24"/>
        </w:rPr>
        <w:t xml:space="preserve">through </w:t>
      </w:r>
      <w:r w:rsidRPr="00022913">
        <w:rPr>
          <w:rFonts w:cs="Arial"/>
          <w:szCs w:val="24"/>
        </w:rPr>
        <w:t xml:space="preserve">incentives and legislation) over the course </w:t>
      </w:r>
      <w:r w:rsidR="009C2695" w:rsidRPr="00022913">
        <w:rPr>
          <w:rFonts w:cs="Arial"/>
          <w:szCs w:val="24"/>
        </w:rPr>
        <w:t xml:space="preserve">of </w:t>
      </w:r>
      <w:r w:rsidRPr="00022913">
        <w:rPr>
          <w:rFonts w:cs="Arial"/>
          <w:szCs w:val="24"/>
        </w:rPr>
        <w:t>nearly four decades,</w:t>
      </w:r>
      <w:r w:rsidR="009C2695" w:rsidRPr="00022913">
        <w:rPr>
          <w:rFonts w:cs="Arial"/>
          <w:szCs w:val="24"/>
        </w:rPr>
        <w:t xml:space="preserve"> as well as</w:t>
      </w:r>
      <w:r w:rsidRPr="00022913">
        <w:rPr>
          <w:rFonts w:cs="Arial"/>
          <w:szCs w:val="24"/>
        </w:rPr>
        <w:t xml:space="preserve"> market forces, industry partnerships, and technology development. Brazil’s foray into ethanol production began with the creation of its Programa Nacional do </w:t>
      </w:r>
      <w:r w:rsidRPr="00022913">
        <w:rPr>
          <w:rFonts w:cs="Arial"/>
          <w:bCs/>
          <w:szCs w:val="24"/>
        </w:rPr>
        <w:t>Á</w:t>
      </w:r>
      <w:r w:rsidRPr="00022913">
        <w:rPr>
          <w:rFonts w:cs="Arial"/>
          <w:szCs w:val="24"/>
        </w:rPr>
        <w:t>lcool (Proalcool), promoting ethanol production.</w:t>
      </w:r>
    </w:p>
    <w:p w:rsidR="0078480F" w:rsidRPr="008720F3" w:rsidRDefault="0078480F" w:rsidP="00022913">
      <w:pPr>
        <w:pStyle w:val="Heading3"/>
      </w:pPr>
      <w:bookmarkStart w:id="24" w:name="_Toc352854181"/>
      <w:r w:rsidRPr="008720F3">
        <w:t>The Proalcool</w:t>
      </w:r>
      <w:bookmarkEnd w:id="24"/>
    </w:p>
    <w:p w:rsidR="0078480F" w:rsidRPr="00022913" w:rsidRDefault="0078480F" w:rsidP="0078480F">
      <w:pPr>
        <w:rPr>
          <w:rFonts w:cs="Arial"/>
          <w:szCs w:val="24"/>
        </w:rPr>
      </w:pPr>
      <w:r w:rsidRPr="00022913">
        <w:rPr>
          <w:rFonts w:cs="Arial"/>
          <w:szCs w:val="24"/>
        </w:rPr>
        <w:t>The Proalcool began on November 14, 1975 in response to low sugar prices and the oil crisis of 1973.</w:t>
      </w:r>
      <w:r w:rsidRPr="00022913">
        <w:rPr>
          <w:rStyle w:val="FootnoteReference"/>
          <w:rFonts w:cs="Arial"/>
          <w:szCs w:val="24"/>
        </w:rPr>
        <w:footnoteReference w:id="34"/>
      </w:r>
      <w:r w:rsidRPr="00022913">
        <w:rPr>
          <w:rFonts w:cs="Arial"/>
          <w:szCs w:val="24"/>
        </w:rPr>
        <w:t xml:space="preserve"> It was originally introduced as a measure to produce ethanol which would be blended with gasoline (anhydrous ethanol).</w:t>
      </w:r>
      <w:r w:rsidRPr="00022913">
        <w:rPr>
          <w:rStyle w:val="FootnoteReference"/>
          <w:rFonts w:cs="Arial"/>
          <w:szCs w:val="24"/>
        </w:rPr>
        <w:footnoteReference w:id="35"/>
      </w:r>
      <w:r w:rsidRPr="00022913">
        <w:rPr>
          <w:rFonts w:cs="Arial"/>
          <w:szCs w:val="24"/>
        </w:rPr>
        <w:t xml:space="preserve"> The program was designed to meet several goals, including:</w:t>
      </w:r>
    </w:p>
    <w:p w:rsidR="0078480F" w:rsidRPr="00022913" w:rsidRDefault="0078480F" w:rsidP="0078480F">
      <w:pPr>
        <w:pStyle w:val="ListParagraph"/>
        <w:numPr>
          <w:ilvl w:val="0"/>
          <w:numId w:val="1"/>
        </w:numPr>
        <w:rPr>
          <w:rFonts w:cs="Arial"/>
          <w:szCs w:val="24"/>
        </w:rPr>
      </w:pPr>
      <w:r w:rsidRPr="00022913">
        <w:rPr>
          <w:rFonts w:cs="Arial"/>
          <w:szCs w:val="24"/>
        </w:rPr>
        <w:t>expanding ethanol production beyond traditional regions,</w:t>
      </w:r>
    </w:p>
    <w:p w:rsidR="0078480F" w:rsidRPr="00022913" w:rsidRDefault="009C2695" w:rsidP="0078480F">
      <w:pPr>
        <w:pStyle w:val="ListParagraph"/>
        <w:numPr>
          <w:ilvl w:val="0"/>
          <w:numId w:val="1"/>
        </w:numPr>
        <w:rPr>
          <w:rFonts w:cs="Arial"/>
          <w:szCs w:val="24"/>
        </w:rPr>
      </w:pPr>
      <w:r w:rsidRPr="00022913">
        <w:rPr>
          <w:rFonts w:cs="Arial"/>
          <w:szCs w:val="24"/>
        </w:rPr>
        <w:t>i</w:t>
      </w:r>
      <w:r w:rsidR="0078480F" w:rsidRPr="00022913">
        <w:rPr>
          <w:rFonts w:cs="Arial"/>
          <w:szCs w:val="24"/>
        </w:rPr>
        <w:t xml:space="preserve">ncreasing ethanol production capacity in both agricultural and processing sectors, and </w:t>
      </w:r>
    </w:p>
    <w:p w:rsidR="0078480F" w:rsidRPr="00022913" w:rsidRDefault="0078480F" w:rsidP="0078480F">
      <w:pPr>
        <w:pStyle w:val="ListParagraph"/>
        <w:numPr>
          <w:ilvl w:val="0"/>
          <w:numId w:val="1"/>
        </w:numPr>
        <w:rPr>
          <w:rFonts w:cs="Arial"/>
          <w:szCs w:val="24"/>
        </w:rPr>
      </w:pPr>
      <w:r w:rsidRPr="00022913">
        <w:rPr>
          <w:rFonts w:cs="Arial"/>
          <w:szCs w:val="24"/>
        </w:rPr>
        <w:t>mitigating the cost of transporting ethanol.</w:t>
      </w:r>
    </w:p>
    <w:p w:rsidR="0078480F" w:rsidRPr="00022913" w:rsidRDefault="0078480F" w:rsidP="0078480F">
      <w:pPr>
        <w:rPr>
          <w:rFonts w:cs="Arial"/>
          <w:szCs w:val="24"/>
        </w:rPr>
      </w:pPr>
      <w:r w:rsidRPr="00022913">
        <w:rPr>
          <w:rFonts w:cs="Arial"/>
          <w:szCs w:val="24"/>
        </w:rPr>
        <w:t>The program also described financial incentives and specified that Proalcool-related investments would be financed by the national system of banks.</w:t>
      </w:r>
      <w:r w:rsidRPr="00022913">
        <w:rPr>
          <w:rStyle w:val="FootnoteReference"/>
          <w:rFonts w:cs="Arial"/>
          <w:szCs w:val="24"/>
        </w:rPr>
        <w:footnoteReference w:id="36"/>
      </w:r>
      <w:r w:rsidRPr="00022913">
        <w:rPr>
          <w:rFonts w:cs="Arial"/>
          <w:szCs w:val="24"/>
        </w:rPr>
        <w:t xml:space="preserve"> The original language used in the Proalcool indicated that sugarcane, manioc (a root vegetable), or other appropriate feedstocks could be used to produce ethanol</w:t>
      </w:r>
      <w:r w:rsidR="002450D5" w:rsidRPr="00022913">
        <w:rPr>
          <w:rFonts w:cs="Arial"/>
          <w:szCs w:val="24"/>
        </w:rPr>
        <w:t>.</w:t>
      </w:r>
      <w:r w:rsidRPr="00022913">
        <w:rPr>
          <w:rFonts w:cs="Arial"/>
          <w:szCs w:val="24"/>
        </w:rPr>
        <w:t xml:space="preserve"> </w:t>
      </w:r>
      <w:r w:rsidR="005C0E93" w:rsidRPr="00022913">
        <w:rPr>
          <w:rFonts w:cs="Arial"/>
          <w:szCs w:val="24"/>
        </w:rPr>
        <w:t>Due</w:t>
      </w:r>
      <w:r w:rsidRPr="00022913">
        <w:rPr>
          <w:rFonts w:cs="Arial"/>
          <w:szCs w:val="24"/>
        </w:rPr>
        <w:t xml:space="preserve"> to existing idle capacity at sugarcane processing facilities and the low price of sugar in the mid-1970s, Brazilian ethanol is now almost</w:t>
      </w:r>
      <w:r w:rsidR="00080915" w:rsidRPr="00022913">
        <w:rPr>
          <w:rFonts w:cs="Arial"/>
          <w:szCs w:val="24"/>
        </w:rPr>
        <w:t xml:space="preserve"> </w:t>
      </w:r>
      <w:r w:rsidRPr="00022913">
        <w:rPr>
          <w:rFonts w:cs="Arial"/>
          <w:szCs w:val="24"/>
        </w:rPr>
        <w:t>exclusively produced from sugarcane.</w:t>
      </w:r>
    </w:p>
    <w:p w:rsidR="0078480F" w:rsidRPr="00022913" w:rsidRDefault="0078480F" w:rsidP="0078480F">
      <w:pPr>
        <w:rPr>
          <w:rFonts w:cs="Arial"/>
          <w:szCs w:val="24"/>
        </w:rPr>
      </w:pPr>
      <w:r w:rsidRPr="00022913">
        <w:rPr>
          <w:rFonts w:cs="Arial"/>
          <w:szCs w:val="24"/>
        </w:rPr>
        <w:t>Initially</w:t>
      </w:r>
      <w:r w:rsidR="002450D5" w:rsidRPr="00022913">
        <w:rPr>
          <w:rFonts w:cs="Arial"/>
          <w:szCs w:val="24"/>
        </w:rPr>
        <w:t>,</w:t>
      </w:r>
      <w:r w:rsidRPr="00022913">
        <w:rPr>
          <w:rFonts w:cs="Arial"/>
          <w:szCs w:val="24"/>
        </w:rPr>
        <w:t xml:space="preserve"> the Proalcool concentrated </w:t>
      </w:r>
      <w:r w:rsidR="002450D5" w:rsidRPr="00022913">
        <w:rPr>
          <w:rFonts w:cs="Arial"/>
          <w:szCs w:val="24"/>
        </w:rPr>
        <w:t>o</w:t>
      </w:r>
      <w:r w:rsidRPr="00022913">
        <w:rPr>
          <w:rFonts w:cs="Arial"/>
          <w:szCs w:val="24"/>
        </w:rPr>
        <w:t>n production of anhydrous ethanol and set a national goal of producing 3.5 billion liters of ethanol by 1980. This was an ambitious goal</w:t>
      </w:r>
      <w:r w:rsidR="002450D5" w:rsidRPr="00022913">
        <w:rPr>
          <w:rFonts w:cs="Arial"/>
          <w:szCs w:val="24"/>
        </w:rPr>
        <w:t>.</w:t>
      </w:r>
      <w:r w:rsidRPr="00022913">
        <w:rPr>
          <w:rFonts w:cs="Arial"/>
          <w:szCs w:val="24"/>
        </w:rPr>
        <w:t xml:space="preserve"> </w:t>
      </w:r>
      <w:r w:rsidR="002450D5" w:rsidRPr="00022913">
        <w:rPr>
          <w:rFonts w:cs="Arial"/>
          <w:szCs w:val="24"/>
        </w:rPr>
        <w:t>I</w:t>
      </w:r>
      <w:r w:rsidRPr="00022913">
        <w:rPr>
          <w:rFonts w:cs="Arial"/>
          <w:szCs w:val="24"/>
        </w:rPr>
        <w:t>n 1974, a year before the program</w:t>
      </w:r>
      <w:r w:rsidR="002450D5" w:rsidRPr="00022913">
        <w:rPr>
          <w:rFonts w:cs="Arial"/>
          <w:szCs w:val="24"/>
        </w:rPr>
        <w:t>’s inception,</w:t>
      </w:r>
      <w:r w:rsidRPr="00022913">
        <w:rPr>
          <w:rFonts w:cs="Arial"/>
          <w:szCs w:val="24"/>
        </w:rPr>
        <w:t xml:space="preserve"> Brazil had produced only 625 million liters of sugarcane ethanol in the 130 ethanol distilleries exist</w:t>
      </w:r>
      <w:r w:rsidR="002450D5" w:rsidRPr="00022913">
        <w:rPr>
          <w:rFonts w:cs="Arial"/>
          <w:szCs w:val="24"/>
        </w:rPr>
        <w:t>ing</w:t>
      </w:r>
      <w:r w:rsidRPr="00022913">
        <w:rPr>
          <w:rFonts w:cs="Arial"/>
          <w:szCs w:val="24"/>
        </w:rPr>
        <w:t xml:space="preserve"> at the time.</w:t>
      </w:r>
      <w:r w:rsidRPr="00022913">
        <w:rPr>
          <w:rStyle w:val="FootnoteReference"/>
          <w:rFonts w:cs="Arial"/>
          <w:szCs w:val="24"/>
        </w:rPr>
        <w:footnoteReference w:id="37"/>
      </w:r>
      <w:r w:rsidRPr="00022913">
        <w:rPr>
          <w:rFonts w:cs="Arial"/>
          <w:szCs w:val="24"/>
        </w:rPr>
        <w:t xml:space="preserve"> Weak international sugar prices and the 1979 oil crisis provided further support for alternative fuels, and Brazil’s policy shifted from using ethanol as a gasoline additive to using ethanol as a replacement for gasoline. This policy shift resulted in increasing the production goal to 10.7 billion liters by 1985.</w:t>
      </w:r>
    </w:p>
    <w:p w:rsidR="0078480F" w:rsidRPr="00022913" w:rsidRDefault="0078480F" w:rsidP="0078480F">
      <w:pPr>
        <w:rPr>
          <w:rFonts w:cs="Arial"/>
          <w:szCs w:val="24"/>
        </w:rPr>
      </w:pPr>
      <w:r w:rsidRPr="00022913">
        <w:rPr>
          <w:rFonts w:cs="Arial"/>
          <w:szCs w:val="24"/>
        </w:rPr>
        <w:lastRenderedPageBreak/>
        <w:t xml:space="preserve">To support demand for ethanol, </w:t>
      </w:r>
      <w:r w:rsidR="005C0E93" w:rsidRPr="00022913">
        <w:rPr>
          <w:rFonts w:cs="Arial"/>
          <w:szCs w:val="24"/>
        </w:rPr>
        <w:t xml:space="preserve">in 1980 </w:t>
      </w:r>
      <w:r w:rsidRPr="00022913">
        <w:rPr>
          <w:rFonts w:cs="Arial"/>
          <w:szCs w:val="24"/>
        </w:rPr>
        <w:t xml:space="preserve">the national government set the price of unblended ethanol at no more than 65 percent of the price of gasoline. Due to poor sales of ethanol and ethanol-powered vehicles in 1981, the </w:t>
      </w:r>
      <w:r w:rsidR="005C0E93" w:rsidRPr="00022913">
        <w:rPr>
          <w:rFonts w:cs="Arial"/>
          <w:szCs w:val="24"/>
        </w:rPr>
        <w:t xml:space="preserve">Brazilian </w:t>
      </w:r>
      <w:r w:rsidRPr="00022913">
        <w:rPr>
          <w:rFonts w:cs="Arial"/>
          <w:szCs w:val="24"/>
        </w:rPr>
        <w:t>government</w:t>
      </w:r>
      <w:r w:rsidR="004412A0" w:rsidRPr="00022913">
        <w:rPr>
          <w:rFonts w:cs="Arial"/>
          <w:szCs w:val="24"/>
        </w:rPr>
        <w:t xml:space="preserve"> </w:t>
      </w:r>
      <w:r w:rsidR="005C0E93" w:rsidRPr="00022913">
        <w:rPr>
          <w:rFonts w:cs="Arial"/>
          <w:szCs w:val="24"/>
        </w:rPr>
        <w:t>under</w:t>
      </w:r>
      <w:r w:rsidR="003A19B6" w:rsidRPr="00022913">
        <w:rPr>
          <w:rFonts w:cs="Arial"/>
          <w:szCs w:val="24"/>
        </w:rPr>
        <w:t xml:space="preserve">took several initiatives. </w:t>
      </w:r>
      <w:r w:rsidR="005C0E93" w:rsidRPr="00022913">
        <w:rPr>
          <w:rFonts w:cs="Arial"/>
          <w:szCs w:val="24"/>
        </w:rPr>
        <w:t>It</w:t>
      </w:r>
      <w:r w:rsidRPr="00022913">
        <w:rPr>
          <w:rFonts w:cs="Arial"/>
          <w:szCs w:val="24"/>
        </w:rPr>
        <w:t xml:space="preserve"> began working with vehicle manufacturers to improve ethanol-powered engines. </w:t>
      </w:r>
      <w:r w:rsidR="005C0E93" w:rsidRPr="00022913">
        <w:rPr>
          <w:rFonts w:cs="Arial"/>
          <w:szCs w:val="24"/>
        </w:rPr>
        <w:t>The government</w:t>
      </w:r>
      <w:r w:rsidR="004412A0" w:rsidRPr="00022913">
        <w:rPr>
          <w:rFonts w:cs="Arial"/>
          <w:szCs w:val="24"/>
        </w:rPr>
        <w:t xml:space="preserve"> also</w:t>
      </w:r>
      <w:r w:rsidRPr="00022913">
        <w:rPr>
          <w:rFonts w:cs="Arial"/>
          <w:szCs w:val="24"/>
        </w:rPr>
        <w:t xml:space="preserve"> lowered the price cap for ethanol to 59 percent of the price of gasoline</w:t>
      </w:r>
      <w:r w:rsidR="004412A0" w:rsidRPr="00022913">
        <w:rPr>
          <w:rFonts w:cs="Arial"/>
          <w:szCs w:val="24"/>
        </w:rPr>
        <w:t>,</w:t>
      </w:r>
      <w:r w:rsidRPr="00022913">
        <w:rPr>
          <w:rFonts w:cs="Arial"/>
          <w:szCs w:val="24"/>
        </w:rPr>
        <w:t xml:space="preserve"> </w:t>
      </w:r>
      <w:r w:rsidR="004412A0" w:rsidRPr="00022913">
        <w:rPr>
          <w:rFonts w:cs="Arial"/>
          <w:szCs w:val="24"/>
        </w:rPr>
        <w:t xml:space="preserve">introduced a </w:t>
      </w:r>
      <w:r w:rsidRPr="00022913">
        <w:rPr>
          <w:rFonts w:cs="Arial"/>
          <w:szCs w:val="24"/>
        </w:rPr>
        <w:t>purchasing incentive that reduced the sales tax on ethanol-powered vehicles, and set the national gasoline blend at 20 percent ethanol. By the mid-1980s, ethanol-powered vehicles constituted over 92 percent of all light vehicles sold in Brazil.</w:t>
      </w:r>
      <w:r w:rsidRPr="00022913">
        <w:rPr>
          <w:rStyle w:val="FootnoteReference"/>
          <w:rFonts w:cs="Arial"/>
          <w:szCs w:val="24"/>
        </w:rPr>
        <w:footnoteReference w:id="38"/>
      </w:r>
    </w:p>
    <w:p w:rsidR="0078480F" w:rsidRPr="008720F3" w:rsidRDefault="008F3E03" w:rsidP="00022913">
      <w:pPr>
        <w:pStyle w:val="Heading3"/>
      </w:pPr>
      <w:bookmarkStart w:id="25" w:name="_Toc352854182"/>
      <w:r w:rsidRPr="008720F3">
        <w:t>Fall of the Ethan</w:t>
      </w:r>
      <w:r w:rsidR="00157CD6" w:rsidRPr="008720F3">
        <w:t>ol Car and the Rise of Flex-</w:t>
      </w:r>
      <w:r w:rsidR="0078480F" w:rsidRPr="008720F3">
        <w:t>Fuel</w:t>
      </w:r>
      <w:r w:rsidRPr="008720F3">
        <w:t xml:space="preserve"> Vehicles</w:t>
      </w:r>
      <w:bookmarkEnd w:id="25"/>
    </w:p>
    <w:p w:rsidR="0078480F" w:rsidRPr="00022913" w:rsidRDefault="0078480F" w:rsidP="0078480F">
      <w:pPr>
        <w:rPr>
          <w:rFonts w:cs="Arial"/>
          <w:szCs w:val="24"/>
        </w:rPr>
      </w:pPr>
      <w:r w:rsidRPr="00022913">
        <w:rPr>
          <w:rFonts w:cs="Arial"/>
          <w:szCs w:val="24"/>
        </w:rPr>
        <w:t xml:space="preserve">In the late 1980s, production of ethanol and sales of ethanol-powered vehicles </w:t>
      </w:r>
      <w:r w:rsidR="004412A0" w:rsidRPr="00022913">
        <w:rPr>
          <w:rFonts w:cs="Arial"/>
          <w:szCs w:val="24"/>
        </w:rPr>
        <w:t>fell sharply</w:t>
      </w:r>
      <w:r w:rsidRPr="00022913">
        <w:rPr>
          <w:rFonts w:cs="Arial"/>
          <w:szCs w:val="24"/>
        </w:rPr>
        <w:t xml:space="preserve">. </w:t>
      </w:r>
      <w:r w:rsidR="004412A0" w:rsidRPr="00022913">
        <w:rPr>
          <w:rFonts w:cs="Arial"/>
          <w:szCs w:val="24"/>
        </w:rPr>
        <w:t>G</w:t>
      </w:r>
      <w:r w:rsidRPr="00022913">
        <w:rPr>
          <w:rFonts w:cs="Arial"/>
          <w:szCs w:val="24"/>
        </w:rPr>
        <w:t xml:space="preserve">asoline prices </w:t>
      </w:r>
      <w:r w:rsidR="0047236D" w:rsidRPr="00022913">
        <w:rPr>
          <w:rFonts w:cs="Arial"/>
          <w:szCs w:val="24"/>
        </w:rPr>
        <w:t>dropped,</w:t>
      </w:r>
      <w:r w:rsidRPr="00022913">
        <w:rPr>
          <w:rFonts w:cs="Arial"/>
          <w:szCs w:val="24"/>
        </w:rPr>
        <w:t xml:space="preserve"> and Brazil ended Proalcool subsidies to ethanol producers.</w:t>
      </w:r>
      <w:r w:rsidRPr="00022913">
        <w:rPr>
          <w:rStyle w:val="FootnoteReference"/>
          <w:rFonts w:cs="Arial"/>
          <w:szCs w:val="24"/>
        </w:rPr>
        <w:footnoteReference w:id="39"/>
      </w:r>
      <w:r w:rsidRPr="00022913">
        <w:rPr>
          <w:rFonts w:cs="Arial"/>
          <w:szCs w:val="24"/>
        </w:rPr>
        <w:t xml:space="preserve"> In the early 1990s, Brazil </w:t>
      </w:r>
      <w:r w:rsidR="000D231D" w:rsidRPr="00022913">
        <w:rPr>
          <w:rFonts w:cs="Arial"/>
          <w:szCs w:val="24"/>
        </w:rPr>
        <w:t>began to suffer</w:t>
      </w:r>
      <w:r w:rsidRPr="00022913">
        <w:rPr>
          <w:rFonts w:cs="Arial"/>
          <w:szCs w:val="24"/>
        </w:rPr>
        <w:t xml:space="preserve"> from ethanol shortages</w:t>
      </w:r>
      <w:r w:rsidR="000D231D" w:rsidRPr="00022913">
        <w:rPr>
          <w:rFonts w:cs="Arial"/>
          <w:szCs w:val="24"/>
        </w:rPr>
        <w:t>,</w:t>
      </w:r>
      <w:r w:rsidRPr="00022913">
        <w:rPr>
          <w:rFonts w:cs="Arial"/>
          <w:szCs w:val="24"/>
        </w:rPr>
        <w:t xml:space="preserve"> as producers switched from </w:t>
      </w:r>
      <w:r w:rsidR="000D231D" w:rsidRPr="00022913">
        <w:rPr>
          <w:rFonts w:cs="Arial"/>
          <w:szCs w:val="24"/>
        </w:rPr>
        <w:t xml:space="preserve">making </w:t>
      </w:r>
      <w:r w:rsidRPr="00022913">
        <w:rPr>
          <w:rFonts w:cs="Arial"/>
          <w:szCs w:val="24"/>
        </w:rPr>
        <w:t>ethanol to</w:t>
      </w:r>
      <w:r w:rsidR="000D231D" w:rsidRPr="00022913">
        <w:rPr>
          <w:rFonts w:cs="Arial"/>
          <w:szCs w:val="24"/>
        </w:rPr>
        <w:t xml:space="preserve"> refining</w:t>
      </w:r>
      <w:r w:rsidRPr="00022913">
        <w:rPr>
          <w:rFonts w:cs="Arial"/>
          <w:szCs w:val="24"/>
        </w:rPr>
        <w:t xml:space="preserve"> sugar </w:t>
      </w:r>
      <w:r w:rsidR="0047236D" w:rsidRPr="00022913">
        <w:rPr>
          <w:rFonts w:cs="Arial"/>
          <w:szCs w:val="24"/>
        </w:rPr>
        <w:t>when</w:t>
      </w:r>
      <w:r w:rsidRPr="00022913">
        <w:rPr>
          <w:rFonts w:cs="Arial"/>
          <w:szCs w:val="24"/>
        </w:rPr>
        <w:t xml:space="preserve"> sugar prices increased.</w:t>
      </w:r>
      <w:r w:rsidRPr="00022913">
        <w:rPr>
          <w:rStyle w:val="FootnoteReference"/>
          <w:rFonts w:cs="Arial"/>
          <w:szCs w:val="24"/>
        </w:rPr>
        <w:footnoteReference w:id="40"/>
      </w:r>
      <w:r w:rsidRPr="00022913">
        <w:rPr>
          <w:rFonts w:cs="Arial"/>
          <w:szCs w:val="24"/>
        </w:rPr>
        <w:t xml:space="preserve"> These shortages reduced consumer confidence in ethanol as a fuel</w:t>
      </w:r>
      <w:r w:rsidR="0047236D" w:rsidRPr="00022913">
        <w:rPr>
          <w:rFonts w:cs="Arial"/>
          <w:szCs w:val="24"/>
        </w:rPr>
        <w:t>,</w:t>
      </w:r>
      <w:r w:rsidRPr="00022913">
        <w:rPr>
          <w:rFonts w:cs="Arial"/>
          <w:szCs w:val="24"/>
        </w:rPr>
        <w:t xml:space="preserve"> and sales of ethanol-powered vehicles </w:t>
      </w:r>
      <w:r w:rsidR="00FF201E" w:rsidRPr="00022913">
        <w:rPr>
          <w:rFonts w:cs="Arial"/>
          <w:szCs w:val="24"/>
        </w:rPr>
        <w:t>dropp</w:t>
      </w:r>
      <w:r w:rsidRPr="00022913">
        <w:rPr>
          <w:rFonts w:cs="Arial"/>
          <w:szCs w:val="24"/>
        </w:rPr>
        <w:t xml:space="preserve">ed </w:t>
      </w:r>
      <w:r w:rsidR="000D231D" w:rsidRPr="00022913">
        <w:rPr>
          <w:rFonts w:cs="Arial"/>
          <w:szCs w:val="24"/>
        </w:rPr>
        <w:t>to 27 percent of sales in 1990. Throughout the decade, sales of ethanol-powered vehicles continued to decline until 1997 and 1998 when they were</w:t>
      </w:r>
      <w:r w:rsidRPr="00022913">
        <w:rPr>
          <w:rFonts w:cs="Arial"/>
          <w:szCs w:val="24"/>
        </w:rPr>
        <w:t xml:space="preserve"> less than a tenth of a percent</w:t>
      </w:r>
      <w:r w:rsidR="000D231D" w:rsidRPr="00022913">
        <w:rPr>
          <w:rFonts w:cs="Arial"/>
          <w:szCs w:val="24"/>
        </w:rPr>
        <w:t xml:space="preserve"> of new vehicle sales</w:t>
      </w:r>
      <w:r w:rsidRPr="00022913">
        <w:rPr>
          <w:rFonts w:cs="Arial"/>
          <w:szCs w:val="24"/>
        </w:rPr>
        <w:t>.</w:t>
      </w:r>
      <w:r w:rsidRPr="00022913">
        <w:rPr>
          <w:rStyle w:val="FootnoteReference"/>
          <w:rFonts w:cs="Arial"/>
          <w:szCs w:val="24"/>
        </w:rPr>
        <w:footnoteReference w:id="41"/>
      </w:r>
      <w:r w:rsidRPr="00022913">
        <w:rPr>
          <w:rFonts w:cs="Arial"/>
          <w:szCs w:val="24"/>
        </w:rPr>
        <w:t xml:space="preserve"> </w:t>
      </w:r>
    </w:p>
    <w:p w:rsidR="0078480F" w:rsidRPr="00022913" w:rsidRDefault="0078480F" w:rsidP="0078480F">
      <w:pPr>
        <w:rPr>
          <w:rFonts w:cs="Arial"/>
          <w:szCs w:val="24"/>
        </w:rPr>
      </w:pPr>
      <w:r w:rsidRPr="00022913">
        <w:rPr>
          <w:rFonts w:cs="Arial"/>
          <w:szCs w:val="24"/>
        </w:rPr>
        <w:t>In 2003</w:t>
      </w:r>
      <w:r w:rsidR="00157CD6" w:rsidRPr="00022913">
        <w:rPr>
          <w:rFonts w:cs="Arial"/>
          <w:szCs w:val="24"/>
        </w:rPr>
        <w:t>, flex-</w:t>
      </w:r>
      <w:r w:rsidRPr="00022913">
        <w:rPr>
          <w:rFonts w:cs="Arial"/>
          <w:szCs w:val="24"/>
        </w:rPr>
        <w:t xml:space="preserve">fuel vehicles, which can run off of any combination of ethanol and gasoline, were introduced to the Brazilian market. The Brazilian government taxed these vehicles at a lower rate than gasoline cars, and </w:t>
      </w:r>
      <w:r w:rsidR="0047236D" w:rsidRPr="00022913">
        <w:rPr>
          <w:rFonts w:cs="Arial"/>
          <w:szCs w:val="24"/>
        </w:rPr>
        <w:t xml:space="preserve">the </w:t>
      </w:r>
      <w:r w:rsidRPr="00022913">
        <w:rPr>
          <w:rFonts w:cs="Arial"/>
          <w:szCs w:val="24"/>
        </w:rPr>
        <w:t>ethanol market in Brazil began to recover.</w:t>
      </w:r>
      <w:r w:rsidRPr="00022913">
        <w:rPr>
          <w:rStyle w:val="FootnoteReference"/>
          <w:rFonts w:cs="Arial"/>
          <w:szCs w:val="24"/>
        </w:rPr>
        <w:footnoteReference w:id="42"/>
      </w:r>
      <w:r w:rsidRPr="00022913">
        <w:rPr>
          <w:rFonts w:cs="Arial"/>
          <w:szCs w:val="24"/>
        </w:rPr>
        <w:t xml:space="preserve"> I</w:t>
      </w:r>
      <w:r w:rsidR="008F3E03" w:rsidRPr="00022913">
        <w:rPr>
          <w:rFonts w:cs="Arial"/>
          <w:szCs w:val="24"/>
        </w:rPr>
        <w:t xml:space="preserve">n 2003, </w:t>
      </w:r>
      <w:r w:rsidR="00157CD6" w:rsidRPr="00022913">
        <w:rPr>
          <w:rFonts w:cs="Arial"/>
          <w:szCs w:val="24"/>
        </w:rPr>
        <w:t>flex-fuel vehicles</w:t>
      </w:r>
      <w:r w:rsidRPr="00022913">
        <w:rPr>
          <w:rFonts w:cs="Arial"/>
          <w:szCs w:val="24"/>
        </w:rPr>
        <w:t xml:space="preserve"> constituted nearly four percent of vehicle sales</w:t>
      </w:r>
      <w:r w:rsidR="0047236D" w:rsidRPr="00022913">
        <w:rPr>
          <w:rFonts w:cs="Arial"/>
          <w:szCs w:val="24"/>
        </w:rPr>
        <w:t>.</w:t>
      </w:r>
      <w:r w:rsidRPr="00022913">
        <w:rPr>
          <w:rFonts w:cs="Arial"/>
          <w:szCs w:val="24"/>
        </w:rPr>
        <w:t xml:space="preserve"> </w:t>
      </w:r>
      <w:r w:rsidR="0047236D" w:rsidRPr="00022913">
        <w:rPr>
          <w:rFonts w:cs="Arial"/>
          <w:szCs w:val="24"/>
        </w:rPr>
        <w:t>W</w:t>
      </w:r>
      <w:r w:rsidRPr="00022913">
        <w:rPr>
          <w:rFonts w:cs="Arial"/>
          <w:szCs w:val="24"/>
        </w:rPr>
        <w:t>ithin a few years</w:t>
      </w:r>
      <w:r w:rsidR="0047236D" w:rsidRPr="00022913">
        <w:rPr>
          <w:rFonts w:cs="Arial"/>
          <w:szCs w:val="24"/>
        </w:rPr>
        <w:t>,</w:t>
      </w:r>
      <w:r w:rsidRPr="00022913">
        <w:rPr>
          <w:rFonts w:cs="Arial"/>
          <w:szCs w:val="24"/>
        </w:rPr>
        <w:t xml:space="preserve"> they rose to over 80 percent of the Brazili</w:t>
      </w:r>
      <w:r w:rsidR="002628DC" w:rsidRPr="00022913">
        <w:rPr>
          <w:rFonts w:cs="Arial"/>
          <w:szCs w:val="24"/>
        </w:rPr>
        <w:t>an light vehicle market. In 2012, 87</w:t>
      </w:r>
      <w:r w:rsidRPr="00022913">
        <w:rPr>
          <w:rFonts w:cs="Arial"/>
          <w:szCs w:val="24"/>
        </w:rPr>
        <w:t xml:space="preserve"> percent of new vehicles sold were </w:t>
      </w:r>
      <w:r w:rsidR="00157CD6" w:rsidRPr="00022913">
        <w:rPr>
          <w:rFonts w:cs="Arial"/>
          <w:szCs w:val="24"/>
        </w:rPr>
        <w:t>flex-fuel vehicle</w:t>
      </w:r>
      <w:r w:rsidR="008F3E03" w:rsidRPr="00022913">
        <w:rPr>
          <w:rFonts w:cs="Arial"/>
          <w:szCs w:val="24"/>
        </w:rPr>
        <w:t>s</w:t>
      </w:r>
      <w:r w:rsidRPr="00022913">
        <w:rPr>
          <w:rFonts w:cs="Arial"/>
          <w:szCs w:val="24"/>
        </w:rPr>
        <w:t>.</w:t>
      </w:r>
      <w:r w:rsidRPr="00022913">
        <w:rPr>
          <w:rStyle w:val="FootnoteReference"/>
          <w:rFonts w:cs="Arial"/>
          <w:szCs w:val="24"/>
        </w:rPr>
        <w:footnoteReference w:id="43"/>
      </w:r>
    </w:p>
    <w:p w:rsidR="0078480F" w:rsidRPr="008720F3" w:rsidRDefault="0078480F" w:rsidP="00022913">
      <w:pPr>
        <w:pStyle w:val="Heading3"/>
      </w:pPr>
      <w:bookmarkStart w:id="26" w:name="_Toc352854183"/>
      <w:r w:rsidRPr="008720F3">
        <w:t>Fuel Blending</w:t>
      </w:r>
      <w:bookmarkEnd w:id="26"/>
    </w:p>
    <w:p w:rsidR="0078480F" w:rsidRPr="00022913" w:rsidRDefault="0078480F" w:rsidP="0078480F">
      <w:pPr>
        <w:autoSpaceDE w:val="0"/>
        <w:autoSpaceDN w:val="0"/>
        <w:adjustRightInd w:val="0"/>
        <w:rPr>
          <w:rFonts w:cs="Arial"/>
          <w:szCs w:val="24"/>
        </w:rPr>
      </w:pPr>
      <w:r w:rsidRPr="00022913">
        <w:rPr>
          <w:rFonts w:cs="Arial"/>
          <w:szCs w:val="24"/>
        </w:rPr>
        <w:t xml:space="preserve">In the early years of the Proalcool, the ethanol-gasoline blend </w:t>
      </w:r>
      <w:r w:rsidR="0047236D" w:rsidRPr="00022913">
        <w:rPr>
          <w:rFonts w:cs="Arial"/>
          <w:szCs w:val="24"/>
        </w:rPr>
        <w:t xml:space="preserve">fluctuated </w:t>
      </w:r>
      <w:r w:rsidRPr="00022913">
        <w:rPr>
          <w:rFonts w:cs="Arial"/>
          <w:szCs w:val="24"/>
        </w:rPr>
        <w:t>continuously and varied by location. In 1976, only the major regions producing sugarcane</w:t>
      </w:r>
      <w:r w:rsidR="000D231D" w:rsidRPr="00022913">
        <w:rPr>
          <w:rFonts w:cs="Arial"/>
          <w:szCs w:val="24"/>
        </w:rPr>
        <w:t>—</w:t>
      </w:r>
      <w:r w:rsidRPr="00022913">
        <w:rPr>
          <w:rFonts w:cs="Arial"/>
          <w:szCs w:val="24"/>
        </w:rPr>
        <w:t>Sao</w:t>
      </w:r>
      <w:r w:rsidR="000D231D" w:rsidRPr="00022913">
        <w:rPr>
          <w:rFonts w:cs="Arial"/>
          <w:szCs w:val="24"/>
        </w:rPr>
        <w:t xml:space="preserve"> </w:t>
      </w:r>
      <w:r w:rsidRPr="00022913">
        <w:rPr>
          <w:rFonts w:cs="Arial"/>
          <w:szCs w:val="24"/>
        </w:rPr>
        <w:t xml:space="preserve">Paulo and the Northeast, </w:t>
      </w:r>
      <w:r w:rsidR="0047236D" w:rsidRPr="00022913">
        <w:rPr>
          <w:rFonts w:cs="Arial"/>
          <w:szCs w:val="24"/>
        </w:rPr>
        <w:t>as well as</w:t>
      </w:r>
      <w:r w:rsidRPr="00022913">
        <w:rPr>
          <w:rFonts w:cs="Arial"/>
          <w:szCs w:val="24"/>
        </w:rPr>
        <w:t xml:space="preserve"> neighboring states</w:t>
      </w:r>
      <w:r w:rsidR="000D231D" w:rsidRPr="00022913">
        <w:rPr>
          <w:rFonts w:cs="Arial"/>
          <w:szCs w:val="24"/>
        </w:rPr>
        <w:t>—</w:t>
      </w:r>
      <w:r w:rsidRPr="00022913">
        <w:rPr>
          <w:rFonts w:cs="Arial"/>
          <w:szCs w:val="24"/>
        </w:rPr>
        <w:t>were</w:t>
      </w:r>
      <w:r w:rsidR="000D231D" w:rsidRPr="00022913">
        <w:rPr>
          <w:rFonts w:cs="Arial"/>
          <w:szCs w:val="24"/>
        </w:rPr>
        <w:t xml:space="preserve"> </w:t>
      </w:r>
      <w:r w:rsidRPr="00022913">
        <w:rPr>
          <w:rFonts w:cs="Arial"/>
          <w:szCs w:val="24"/>
        </w:rPr>
        <w:t>required to sell gasoline blended with 10 to 15 percent ethanol. In 1977, gasoline sold in the city of Sao Paulo had to be blended with 20 percent ethanol</w:t>
      </w:r>
      <w:r w:rsidR="0047236D" w:rsidRPr="00022913">
        <w:rPr>
          <w:rFonts w:cs="Arial"/>
          <w:szCs w:val="24"/>
        </w:rPr>
        <w:t>;</w:t>
      </w:r>
      <w:r w:rsidRPr="00022913">
        <w:rPr>
          <w:rFonts w:cs="Arial"/>
          <w:szCs w:val="24"/>
        </w:rPr>
        <w:t xml:space="preserve"> the other regions were required to sell a 12 percent blend. By 1979, the government required a 20 percent blend for the entire country.</w:t>
      </w:r>
      <w:r w:rsidRPr="00022913">
        <w:rPr>
          <w:rStyle w:val="FootnoteReference"/>
          <w:rFonts w:cs="Arial"/>
          <w:szCs w:val="24"/>
        </w:rPr>
        <w:footnoteReference w:id="44"/>
      </w:r>
      <w:r w:rsidRPr="00022913">
        <w:rPr>
          <w:rFonts w:cs="Arial"/>
          <w:szCs w:val="24"/>
        </w:rPr>
        <w:t xml:space="preserve"> In recent years, the Brazilian government has mandated that all gasoline contain 25 percent ethanol</w:t>
      </w:r>
      <w:r w:rsidR="00FF201E" w:rsidRPr="00022913">
        <w:rPr>
          <w:rFonts w:cs="Arial"/>
          <w:szCs w:val="24"/>
        </w:rPr>
        <w:t>.</w:t>
      </w:r>
      <w:r w:rsidRPr="00022913">
        <w:rPr>
          <w:rFonts w:cs="Arial"/>
          <w:szCs w:val="24"/>
        </w:rPr>
        <w:t xml:space="preserve"> </w:t>
      </w:r>
      <w:r w:rsidR="0047236D" w:rsidRPr="00022913">
        <w:rPr>
          <w:rFonts w:cs="Arial"/>
          <w:szCs w:val="24"/>
        </w:rPr>
        <w:t>T</w:t>
      </w:r>
      <w:r w:rsidRPr="00022913">
        <w:rPr>
          <w:rFonts w:cs="Arial"/>
          <w:szCs w:val="24"/>
        </w:rPr>
        <w:t>his amount is subject to change depending on the quality of the sugarcane harvest. In October 2011, Brazil cut the ethanol blend from 25 percent to 20 percent.</w:t>
      </w:r>
      <w:r w:rsidRPr="00022913">
        <w:rPr>
          <w:rStyle w:val="FootnoteReference"/>
          <w:rFonts w:cs="Arial"/>
          <w:szCs w:val="24"/>
        </w:rPr>
        <w:footnoteReference w:id="45"/>
      </w:r>
    </w:p>
    <w:p w:rsidR="0078480F" w:rsidRPr="008720F3" w:rsidRDefault="0078480F" w:rsidP="00022913">
      <w:pPr>
        <w:pStyle w:val="Heading3"/>
      </w:pPr>
      <w:bookmarkStart w:id="27" w:name="_Toc352854184"/>
      <w:r w:rsidRPr="008720F3">
        <w:lastRenderedPageBreak/>
        <w:t>Infrastructure Financing</w:t>
      </w:r>
      <w:bookmarkEnd w:id="27"/>
    </w:p>
    <w:p w:rsidR="0078480F" w:rsidRPr="00022913" w:rsidRDefault="0078480F" w:rsidP="0078480F">
      <w:pPr>
        <w:rPr>
          <w:rFonts w:cs="Arial"/>
          <w:szCs w:val="24"/>
        </w:rPr>
      </w:pPr>
      <w:r w:rsidRPr="00022913">
        <w:rPr>
          <w:rFonts w:cs="Arial"/>
          <w:szCs w:val="24"/>
        </w:rPr>
        <w:t xml:space="preserve">The original Proalcool language recognized the financing challenges </w:t>
      </w:r>
      <w:r w:rsidR="0047236D" w:rsidRPr="00022913">
        <w:rPr>
          <w:rFonts w:cs="Arial"/>
          <w:szCs w:val="24"/>
        </w:rPr>
        <w:t>resulting from</w:t>
      </w:r>
      <w:r w:rsidRPr="00022913">
        <w:rPr>
          <w:rFonts w:cs="Arial"/>
          <w:szCs w:val="24"/>
        </w:rPr>
        <w:t xml:space="preserve"> its ambitious goals. It explicitly stated that investments and other expenses related to the Proalcool would be financed by Brazil’s national system of banks.</w:t>
      </w:r>
      <w:r w:rsidRPr="00022913">
        <w:rPr>
          <w:rStyle w:val="FootnoteReference"/>
          <w:rFonts w:cs="Arial"/>
          <w:szCs w:val="24"/>
        </w:rPr>
        <w:footnoteReference w:id="46"/>
      </w:r>
      <w:r w:rsidRPr="00022913">
        <w:rPr>
          <w:rFonts w:cs="Arial"/>
          <w:szCs w:val="24"/>
        </w:rPr>
        <w:t xml:space="preserve"> Investments used for installation, modernization, and expansion of distilleries would be handled by the Banco Nacional do Desenvolvimento Economico, the Banco do Brasil, the Banco do Nordeste do Brasil, and the Banco da Amazonia, while investments needed to increase sugarcane production would be handled by Sistema Nacional de Credito Rural. The National Monetary Council would assist regions where sugarcane was not traditionally produced.</w:t>
      </w:r>
      <w:r w:rsidRPr="00022913">
        <w:rPr>
          <w:rStyle w:val="FootnoteReference"/>
          <w:rFonts w:cs="Arial"/>
          <w:szCs w:val="24"/>
        </w:rPr>
        <w:footnoteReference w:id="47"/>
      </w:r>
      <w:r w:rsidRPr="00022913">
        <w:rPr>
          <w:rFonts w:cs="Arial"/>
          <w:szCs w:val="24"/>
        </w:rPr>
        <w:t xml:space="preserve"> In addition, </w:t>
      </w:r>
      <w:r w:rsidR="0047236D" w:rsidRPr="00022913">
        <w:rPr>
          <w:rFonts w:cs="Arial"/>
          <w:szCs w:val="24"/>
        </w:rPr>
        <w:t xml:space="preserve">the </w:t>
      </w:r>
      <w:r w:rsidRPr="00022913">
        <w:rPr>
          <w:rFonts w:cs="Arial"/>
          <w:szCs w:val="24"/>
        </w:rPr>
        <w:t>sugar and ethanol industry in Brazil has invested approximately $40 million per year in research and development since 1979</w:t>
      </w:r>
      <w:r w:rsidR="00406C53" w:rsidRPr="00022913">
        <w:rPr>
          <w:rFonts w:cs="Arial"/>
          <w:szCs w:val="24"/>
        </w:rPr>
        <w:t>.</w:t>
      </w:r>
      <w:r w:rsidRPr="00022913">
        <w:rPr>
          <w:rFonts w:cs="Arial"/>
          <w:szCs w:val="24"/>
        </w:rPr>
        <w:t xml:space="preserve"> </w:t>
      </w:r>
      <w:r w:rsidR="00406C53" w:rsidRPr="00022913">
        <w:rPr>
          <w:rFonts w:cs="Arial"/>
          <w:szCs w:val="24"/>
        </w:rPr>
        <w:t>A</w:t>
      </w:r>
      <w:r w:rsidRPr="00022913">
        <w:rPr>
          <w:rFonts w:cs="Arial"/>
          <w:szCs w:val="24"/>
        </w:rPr>
        <w:t>s a result</w:t>
      </w:r>
      <w:r w:rsidR="00406C53" w:rsidRPr="00022913">
        <w:rPr>
          <w:rFonts w:cs="Arial"/>
          <w:szCs w:val="24"/>
        </w:rPr>
        <w:t>,</w:t>
      </w:r>
      <w:r w:rsidRPr="00022913">
        <w:rPr>
          <w:rFonts w:cs="Arial"/>
          <w:szCs w:val="24"/>
        </w:rPr>
        <w:t xml:space="preserve"> sugarcane and ethanol yields per acre</w:t>
      </w:r>
      <w:r w:rsidR="00406C53" w:rsidRPr="00022913">
        <w:rPr>
          <w:rFonts w:cs="Arial"/>
          <w:szCs w:val="24"/>
        </w:rPr>
        <w:t xml:space="preserve"> </w:t>
      </w:r>
      <w:r w:rsidR="00FF201E" w:rsidRPr="00022913">
        <w:rPr>
          <w:rFonts w:cs="Arial"/>
          <w:szCs w:val="24"/>
        </w:rPr>
        <w:t>have</w:t>
      </w:r>
      <w:r w:rsidR="00406C53" w:rsidRPr="00022913">
        <w:rPr>
          <w:rFonts w:cs="Arial"/>
          <w:szCs w:val="24"/>
        </w:rPr>
        <w:t xml:space="preserve"> </w:t>
      </w:r>
      <w:r w:rsidR="00715731" w:rsidRPr="00022913">
        <w:rPr>
          <w:rFonts w:cs="Arial"/>
          <w:szCs w:val="24"/>
        </w:rPr>
        <w:t>greatly</w:t>
      </w:r>
      <w:r w:rsidR="00406C53" w:rsidRPr="00022913">
        <w:rPr>
          <w:rFonts w:cs="Arial"/>
          <w:szCs w:val="24"/>
        </w:rPr>
        <w:t xml:space="preserve"> improved</w:t>
      </w:r>
      <w:r w:rsidRPr="00022913">
        <w:rPr>
          <w:rFonts w:cs="Arial"/>
          <w:szCs w:val="24"/>
        </w:rPr>
        <w:t>.</w:t>
      </w:r>
      <w:r w:rsidRPr="00022913">
        <w:rPr>
          <w:rStyle w:val="FootnoteReference"/>
          <w:rFonts w:cs="Arial"/>
          <w:szCs w:val="24"/>
        </w:rPr>
        <w:footnoteReference w:id="48"/>
      </w:r>
      <w:r w:rsidRPr="00022913">
        <w:rPr>
          <w:rFonts w:cs="Arial"/>
          <w:szCs w:val="24"/>
        </w:rPr>
        <w:t xml:space="preserve"> </w:t>
      </w:r>
    </w:p>
    <w:p w:rsidR="0078480F" w:rsidRPr="00022913" w:rsidRDefault="0078480F" w:rsidP="0078480F">
      <w:pPr>
        <w:rPr>
          <w:rFonts w:cs="Arial"/>
          <w:szCs w:val="24"/>
        </w:rPr>
      </w:pPr>
      <w:r w:rsidRPr="00022913">
        <w:rPr>
          <w:rFonts w:cs="Arial"/>
          <w:szCs w:val="24"/>
        </w:rPr>
        <w:t xml:space="preserve">Early on in the program, the Brazilian government installed ethanol storage tanks between </w:t>
      </w:r>
      <w:r w:rsidR="00406C53" w:rsidRPr="00022913">
        <w:rPr>
          <w:rFonts w:cs="Arial"/>
          <w:szCs w:val="24"/>
        </w:rPr>
        <w:t xml:space="preserve">the </w:t>
      </w:r>
      <w:r w:rsidRPr="00022913">
        <w:rPr>
          <w:rFonts w:cs="Arial"/>
          <w:szCs w:val="24"/>
        </w:rPr>
        <w:t xml:space="preserve">centers of production and the centers of consumption. The government was then able to slowly adapt the existing gasoline transportation infrastructure to accommodate ethanol. For example, </w:t>
      </w:r>
      <w:r w:rsidR="00406C53" w:rsidRPr="00022913">
        <w:rPr>
          <w:rFonts w:cs="Arial"/>
          <w:szCs w:val="24"/>
        </w:rPr>
        <w:t xml:space="preserve">Petrobras </w:t>
      </w:r>
      <w:r w:rsidRPr="00022913">
        <w:rPr>
          <w:rFonts w:cs="Arial"/>
          <w:szCs w:val="24"/>
        </w:rPr>
        <w:t xml:space="preserve">was able to use </w:t>
      </w:r>
      <w:r w:rsidR="00406C53" w:rsidRPr="00022913">
        <w:rPr>
          <w:rFonts w:cs="Arial"/>
          <w:szCs w:val="24"/>
        </w:rPr>
        <w:t>a Sao Paulo oil</w:t>
      </w:r>
      <w:r w:rsidRPr="00022913">
        <w:rPr>
          <w:rFonts w:cs="Arial"/>
          <w:szCs w:val="24"/>
        </w:rPr>
        <w:t xml:space="preserve"> pipeline to alternately transport oil and ethanol.</w:t>
      </w:r>
      <w:r w:rsidRPr="00022913">
        <w:rPr>
          <w:rStyle w:val="FootnoteReference"/>
          <w:rFonts w:cs="Arial"/>
          <w:szCs w:val="24"/>
        </w:rPr>
        <w:footnoteReference w:id="49"/>
      </w:r>
    </w:p>
    <w:p w:rsidR="0078480F" w:rsidRPr="00022913" w:rsidRDefault="0078480F" w:rsidP="0078480F">
      <w:pPr>
        <w:rPr>
          <w:rFonts w:cs="Arial"/>
          <w:szCs w:val="24"/>
        </w:rPr>
      </w:pPr>
      <w:r w:rsidRPr="00022913">
        <w:rPr>
          <w:rFonts w:cs="Arial"/>
          <w:szCs w:val="24"/>
        </w:rPr>
        <w:t>Sugar mills with alcohol plants already in operation needed</w:t>
      </w:r>
      <w:r w:rsidR="00FF201E" w:rsidRPr="00022913">
        <w:rPr>
          <w:rFonts w:cs="Arial"/>
          <w:szCs w:val="24"/>
        </w:rPr>
        <w:t xml:space="preserve"> only</w:t>
      </w:r>
      <w:r w:rsidRPr="00022913">
        <w:rPr>
          <w:rFonts w:cs="Arial"/>
          <w:szCs w:val="24"/>
        </w:rPr>
        <w:t xml:space="preserve"> simple modifications to produce ethanol. In the 1970s, ethanol was largely produced (fermented and distilled) in new facilities which were frequently built next to existing sugar mills (called anexas). By producing ethanol at sugar mills that had expanded their distillation capacity, the sugarcane processing industry was able to minimize new investments. In addition, this system of modifying existing plants created a high degree of flexibility, as it allowed the industry to switch between producing sugar and ethanol. When higher production goals were set for 1985, anexas could not provide all of the ethanol that was required; new</w:t>
      </w:r>
      <w:r w:rsidR="00406C53" w:rsidRPr="00022913">
        <w:rPr>
          <w:rFonts w:cs="Arial"/>
          <w:szCs w:val="24"/>
        </w:rPr>
        <w:t xml:space="preserve"> and</w:t>
      </w:r>
      <w:r w:rsidRPr="00022913">
        <w:rPr>
          <w:rFonts w:cs="Arial"/>
          <w:szCs w:val="24"/>
        </w:rPr>
        <w:t xml:space="preserve"> larger distilleries were needed. By 1985</w:t>
      </w:r>
      <w:r w:rsidR="00406C53" w:rsidRPr="00022913">
        <w:rPr>
          <w:rFonts w:cs="Arial"/>
          <w:szCs w:val="24"/>
        </w:rPr>
        <w:t>,</w:t>
      </w:r>
      <w:r w:rsidRPr="00022913">
        <w:rPr>
          <w:rFonts w:cs="Arial"/>
          <w:szCs w:val="24"/>
        </w:rPr>
        <w:t xml:space="preserve"> the new dedicated production facilities produced over half of Brazil’s ethanol output. The National Petroleum Council was required to establish a program to supply ethanol to petroleum companies at a pre-established, fixed price. From the production facilities </w:t>
      </w:r>
      <w:r w:rsidR="00406C53" w:rsidRPr="00022913">
        <w:rPr>
          <w:rFonts w:cs="Arial"/>
          <w:szCs w:val="24"/>
        </w:rPr>
        <w:t>(</w:t>
      </w:r>
      <w:r w:rsidRPr="00022913">
        <w:rPr>
          <w:rFonts w:cs="Arial"/>
          <w:szCs w:val="24"/>
        </w:rPr>
        <w:t>anexas or larger production facilities</w:t>
      </w:r>
      <w:r w:rsidR="00406C53" w:rsidRPr="00022913">
        <w:rPr>
          <w:rFonts w:cs="Arial"/>
          <w:szCs w:val="24"/>
        </w:rPr>
        <w:t>)</w:t>
      </w:r>
      <w:r w:rsidRPr="00022913">
        <w:rPr>
          <w:rFonts w:cs="Arial"/>
          <w:szCs w:val="24"/>
        </w:rPr>
        <w:t xml:space="preserve"> ethanol was sold to Petrobras, the Brazilian national petroleum company. Petrobras then mixed the ethanol into gasoline and distributed it across the country.</w:t>
      </w:r>
      <w:r w:rsidRPr="00022913">
        <w:rPr>
          <w:rStyle w:val="FootnoteReference"/>
          <w:rFonts w:cs="Arial"/>
          <w:szCs w:val="24"/>
        </w:rPr>
        <w:footnoteReference w:id="50"/>
      </w:r>
    </w:p>
    <w:p w:rsidR="0078480F" w:rsidRPr="008720F3" w:rsidRDefault="0078480F" w:rsidP="00022913">
      <w:pPr>
        <w:pStyle w:val="Heading3"/>
      </w:pPr>
      <w:bookmarkStart w:id="28" w:name="_Toc352854185"/>
      <w:r w:rsidRPr="008720F3">
        <w:t>Vehicles</w:t>
      </w:r>
      <w:bookmarkEnd w:id="28"/>
    </w:p>
    <w:p w:rsidR="0078480F" w:rsidRPr="00022913" w:rsidRDefault="0078480F" w:rsidP="0078480F">
      <w:pPr>
        <w:rPr>
          <w:rFonts w:cs="Arial"/>
          <w:szCs w:val="24"/>
        </w:rPr>
      </w:pPr>
      <w:r w:rsidRPr="00022913">
        <w:rPr>
          <w:rFonts w:cs="Arial"/>
          <w:szCs w:val="24"/>
        </w:rPr>
        <w:t>In 1979, the major automakers in Brazil signed an agreement</w:t>
      </w:r>
      <w:r w:rsidR="00FF201E" w:rsidRPr="00022913">
        <w:rPr>
          <w:rFonts w:cs="Arial"/>
          <w:szCs w:val="24"/>
        </w:rPr>
        <w:t xml:space="preserve"> with the national government</w:t>
      </w:r>
      <w:r w:rsidRPr="00022913">
        <w:rPr>
          <w:rFonts w:cs="Arial"/>
          <w:szCs w:val="24"/>
        </w:rPr>
        <w:t xml:space="preserve"> to produce vehicles that ran on ethanol alone, rather than </w:t>
      </w:r>
      <w:r w:rsidR="00406C53" w:rsidRPr="00022913">
        <w:rPr>
          <w:rFonts w:cs="Arial"/>
          <w:szCs w:val="24"/>
        </w:rPr>
        <w:t xml:space="preserve">on </w:t>
      </w:r>
      <w:r w:rsidRPr="00022913">
        <w:rPr>
          <w:rFonts w:cs="Arial"/>
          <w:szCs w:val="24"/>
        </w:rPr>
        <w:t>a mixture of gasoline and ethanol</w:t>
      </w:r>
      <w:r w:rsidR="00DE46FA" w:rsidRPr="00022913">
        <w:rPr>
          <w:rFonts w:cs="Arial"/>
          <w:szCs w:val="24"/>
        </w:rPr>
        <w:t>,</w:t>
      </w:r>
      <w:r w:rsidRPr="00022913">
        <w:rPr>
          <w:rFonts w:cs="Arial"/>
          <w:szCs w:val="24"/>
        </w:rPr>
        <w:t xml:space="preserve"> and </w:t>
      </w:r>
      <w:r w:rsidR="00C353E6" w:rsidRPr="00022913">
        <w:rPr>
          <w:rFonts w:cs="Arial"/>
          <w:szCs w:val="24"/>
        </w:rPr>
        <w:t xml:space="preserve">they </w:t>
      </w:r>
      <w:r w:rsidR="00DE46FA" w:rsidRPr="00022913">
        <w:rPr>
          <w:rFonts w:cs="Arial"/>
          <w:szCs w:val="24"/>
        </w:rPr>
        <w:t>agreed to</w:t>
      </w:r>
      <w:r w:rsidR="00C353E6" w:rsidRPr="00022913">
        <w:rPr>
          <w:rFonts w:cs="Arial"/>
          <w:szCs w:val="24"/>
        </w:rPr>
        <w:t xml:space="preserve"> </w:t>
      </w:r>
      <w:r w:rsidRPr="00022913">
        <w:rPr>
          <w:rFonts w:cs="Arial"/>
          <w:szCs w:val="24"/>
        </w:rPr>
        <w:t xml:space="preserve">phase out production of gasoline-powered vehicles. The goal of the 1979 agreement set specific production targets of 250,000 vehicles by 1980, 300,000 by 1981, and 350,000 by 1982. To boost sales and increase awareness, the government created a media campaign for ethanol-powered vehicles and gave special preference to </w:t>
      </w:r>
      <w:r w:rsidR="00C353E6" w:rsidRPr="00022913">
        <w:rPr>
          <w:rFonts w:cs="Arial"/>
          <w:szCs w:val="24"/>
        </w:rPr>
        <w:t>these</w:t>
      </w:r>
      <w:r w:rsidRPr="00022913">
        <w:rPr>
          <w:rFonts w:cs="Arial"/>
          <w:szCs w:val="24"/>
        </w:rPr>
        <w:t xml:space="preserve"> vehicles </w:t>
      </w:r>
      <w:r w:rsidR="00C353E6" w:rsidRPr="00022913">
        <w:rPr>
          <w:rFonts w:cs="Arial"/>
          <w:szCs w:val="24"/>
        </w:rPr>
        <w:t>for</w:t>
      </w:r>
      <w:r w:rsidRPr="00022913">
        <w:rPr>
          <w:rFonts w:cs="Arial"/>
          <w:szCs w:val="24"/>
        </w:rPr>
        <w:t xml:space="preserve"> government fleet procurement.</w:t>
      </w:r>
      <w:r w:rsidRPr="00022913">
        <w:rPr>
          <w:rStyle w:val="FootnoteReference"/>
          <w:rFonts w:cs="Arial"/>
          <w:szCs w:val="24"/>
        </w:rPr>
        <w:footnoteReference w:id="51"/>
      </w:r>
    </w:p>
    <w:p w:rsidR="0078480F" w:rsidRPr="00022913" w:rsidRDefault="0078480F" w:rsidP="0078480F">
      <w:pPr>
        <w:rPr>
          <w:rFonts w:cs="Arial"/>
          <w:szCs w:val="24"/>
        </w:rPr>
      </w:pPr>
      <w:r w:rsidRPr="00022913">
        <w:rPr>
          <w:rFonts w:cs="Arial"/>
          <w:szCs w:val="24"/>
        </w:rPr>
        <w:lastRenderedPageBreak/>
        <w:t>Sales of ethanol</w:t>
      </w:r>
      <w:r w:rsidR="00FF201E" w:rsidRPr="00022913">
        <w:rPr>
          <w:rFonts w:cs="Arial"/>
          <w:szCs w:val="24"/>
        </w:rPr>
        <w:t>-</w:t>
      </w:r>
      <w:r w:rsidRPr="00022913">
        <w:rPr>
          <w:rFonts w:cs="Arial"/>
          <w:szCs w:val="24"/>
        </w:rPr>
        <w:t>powered vehicle</w:t>
      </w:r>
      <w:r w:rsidR="00C353E6" w:rsidRPr="00022913">
        <w:rPr>
          <w:rFonts w:cs="Arial"/>
          <w:szCs w:val="24"/>
        </w:rPr>
        <w:t>s</w:t>
      </w:r>
      <w:r w:rsidRPr="00022913">
        <w:rPr>
          <w:rFonts w:cs="Arial"/>
          <w:szCs w:val="24"/>
        </w:rPr>
        <w:t xml:space="preserve"> skyrocketed in the early 1980s; 36 percent of new vehicles sold in 1982 were ethanol-powered as were 84 percent of those sold in 1983. By 1985, over 90 percent of Brazil’s new cars were </w:t>
      </w:r>
      <w:r w:rsidR="002628DC" w:rsidRPr="00022913">
        <w:rPr>
          <w:rFonts w:cs="Arial"/>
          <w:szCs w:val="24"/>
        </w:rPr>
        <w:t>ethan</w:t>
      </w:r>
      <w:r w:rsidRPr="00022913">
        <w:rPr>
          <w:rFonts w:cs="Arial"/>
          <w:szCs w:val="24"/>
        </w:rPr>
        <w:t>ol</w:t>
      </w:r>
      <w:r w:rsidR="00FF201E" w:rsidRPr="00022913">
        <w:rPr>
          <w:rFonts w:cs="Arial"/>
          <w:szCs w:val="24"/>
        </w:rPr>
        <w:t>-</w:t>
      </w:r>
      <w:r w:rsidRPr="00022913">
        <w:rPr>
          <w:rFonts w:cs="Arial"/>
          <w:szCs w:val="24"/>
        </w:rPr>
        <w:t>powered</w:t>
      </w:r>
      <w:r w:rsidR="00C353E6" w:rsidRPr="00022913">
        <w:rPr>
          <w:rFonts w:cs="Arial"/>
          <w:szCs w:val="24"/>
        </w:rPr>
        <w:t>;</w:t>
      </w:r>
      <w:r w:rsidRPr="00022913">
        <w:rPr>
          <w:rFonts w:cs="Arial"/>
          <w:szCs w:val="24"/>
        </w:rPr>
        <w:t xml:space="preserve"> 2.4 million of Brazil’s ten million registered light vehicles were fueled completely by ethanol</w:t>
      </w:r>
      <w:r w:rsidR="00FF201E" w:rsidRPr="00022913">
        <w:rPr>
          <w:rFonts w:cs="Arial"/>
          <w:szCs w:val="24"/>
        </w:rPr>
        <w:t>;</w:t>
      </w:r>
      <w:r w:rsidRPr="00022913">
        <w:rPr>
          <w:rFonts w:cs="Arial"/>
          <w:szCs w:val="24"/>
        </w:rPr>
        <w:t xml:space="preserve"> the rest were fueled by gasoline blended with ethanol.</w:t>
      </w:r>
      <w:r w:rsidRPr="00022913">
        <w:rPr>
          <w:rStyle w:val="FootnoteReference"/>
          <w:rFonts w:cs="Arial"/>
          <w:szCs w:val="24"/>
        </w:rPr>
        <w:footnoteReference w:id="52"/>
      </w:r>
    </w:p>
    <w:p w:rsidR="0078480F" w:rsidRPr="008720F3" w:rsidRDefault="0078480F" w:rsidP="00022913">
      <w:pPr>
        <w:pStyle w:val="Heading3"/>
      </w:pPr>
      <w:bookmarkStart w:id="29" w:name="_Toc352854186"/>
      <w:r w:rsidRPr="008720F3">
        <w:t>Lessons Learned</w:t>
      </w:r>
      <w:bookmarkEnd w:id="29"/>
    </w:p>
    <w:p w:rsidR="0078480F" w:rsidRPr="00022913" w:rsidRDefault="0078480F" w:rsidP="0078480F">
      <w:pPr>
        <w:rPr>
          <w:rFonts w:cs="Arial"/>
          <w:szCs w:val="24"/>
        </w:rPr>
      </w:pPr>
      <w:r w:rsidRPr="00022913">
        <w:rPr>
          <w:rFonts w:cs="Arial"/>
          <w:szCs w:val="24"/>
        </w:rPr>
        <w:t xml:space="preserve">The success of Brazil’s program was affected by market price fluctuations; when sugar prices were high and gasoline prices were low, sugarcane was processed into sugar for export rather than into ethanol for domestic fuel production, resulting in fuel shortages. This issue resulted in the decline of ethanol-powered vehicles, but was ultimately solved by the introduction of </w:t>
      </w:r>
      <w:r w:rsidR="00157CD6" w:rsidRPr="00022913">
        <w:rPr>
          <w:rFonts w:cs="Arial"/>
          <w:szCs w:val="24"/>
        </w:rPr>
        <w:t>flex-fuel vehicle</w:t>
      </w:r>
      <w:r w:rsidR="008F3E03" w:rsidRPr="00022913">
        <w:rPr>
          <w:rFonts w:cs="Arial"/>
          <w:szCs w:val="24"/>
        </w:rPr>
        <w:t>s</w:t>
      </w:r>
      <w:r w:rsidRPr="00022913">
        <w:rPr>
          <w:rFonts w:cs="Arial"/>
          <w:szCs w:val="24"/>
        </w:rPr>
        <w:t xml:space="preserve">, which </w:t>
      </w:r>
      <w:r w:rsidR="00C353E6" w:rsidRPr="00022913">
        <w:rPr>
          <w:rFonts w:cs="Arial"/>
          <w:szCs w:val="24"/>
        </w:rPr>
        <w:t>were able to</w:t>
      </w:r>
      <w:r w:rsidRPr="00022913">
        <w:rPr>
          <w:rFonts w:cs="Arial"/>
          <w:szCs w:val="24"/>
        </w:rPr>
        <w:t xml:space="preserve"> take advantage of a constantly shifting fuel blend.</w:t>
      </w:r>
    </w:p>
    <w:p w:rsidR="0078480F" w:rsidRPr="00022913" w:rsidRDefault="0078480F" w:rsidP="0078480F">
      <w:pPr>
        <w:rPr>
          <w:rFonts w:cs="Arial"/>
          <w:szCs w:val="24"/>
        </w:rPr>
      </w:pPr>
      <w:r w:rsidRPr="00022913">
        <w:rPr>
          <w:rFonts w:cs="Arial"/>
          <w:szCs w:val="24"/>
        </w:rPr>
        <w:t>Brazil’s experience with biofuel adoption spans nearly four decades and offers a rich and detailed case study of a national government push to rapidly increase alternative fuel and alternative fuel vehicle production. While the Proalcool program encouraged uneven growth in the ethanol industry and successes in selling ethanol-powered vehicles began to decline little more than a decade after the program commenced, it was responsible for unprecedented sales shift</w:t>
      </w:r>
      <w:r w:rsidR="00C353E6" w:rsidRPr="00022913">
        <w:rPr>
          <w:rFonts w:cs="Arial"/>
          <w:szCs w:val="24"/>
        </w:rPr>
        <w:t>s</w:t>
      </w:r>
      <w:r w:rsidRPr="00022913">
        <w:rPr>
          <w:rFonts w:cs="Arial"/>
          <w:szCs w:val="24"/>
        </w:rPr>
        <w:t xml:space="preserve"> and it set the stage for the success of </w:t>
      </w:r>
      <w:r w:rsidR="000B5476" w:rsidRPr="00022913">
        <w:rPr>
          <w:rFonts w:cs="Arial"/>
          <w:szCs w:val="24"/>
        </w:rPr>
        <w:t>flex-fuel vehicle</w:t>
      </w:r>
      <w:r w:rsidR="008F3E03" w:rsidRPr="00022913">
        <w:rPr>
          <w:rFonts w:cs="Arial"/>
          <w:szCs w:val="24"/>
        </w:rPr>
        <w:t>s</w:t>
      </w:r>
      <w:r w:rsidRPr="00022913">
        <w:rPr>
          <w:rFonts w:cs="Arial"/>
          <w:szCs w:val="24"/>
        </w:rPr>
        <w:t xml:space="preserve"> in the past decade. Some of the methods used by the Brazilian government may be feasible</w:t>
      </w:r>
      <w:r w:rsidR="00C353E6" w:rsidRPr="00022913">
        <w:rPr>
          <w:rFonts w:cs="Arial"/>
          <w:szCs w:val="24"/>
        </w:rPr>
        <w:t xml:space="preserve"> only</w:t>
      </w:r>
      <w:r w:rsidRPr="00022913">
        <w:rPr>
          <w:rFonts w:cs="Arial"/>
          <w:szCs w:val="24"/>
        </w:rPr>
        <w:t xml:space="preserve"> in more authoritarian states, but others could be applied in more democratic, market-based economies.</w:t>
      </w:r>
    </w:p>
    <w:p w:rsidR="0078480F" w:rsidRPr="00022913" w:rsidRDefault="0078480F" w:rsidP="0078480F">
      <w:pPr>
        <w:rPr>
          <w:rFonts w:cs="Arial"/>
          <w:szCs w:val="24"/>
        </w:rPr>
      </w:pPr>
      <w:r w:rsidRPr="00022913">
        <w:rPr>
          <w:rFonts w:cs="Arial"/>
          <w:szCs w:val="24"/>
        </w:rPr>
        <w:t>Many of the government incentive programs (subsidies, tax breaks, preferential procurement, and financing), partnerships, mandates, and regulations could be successfully implemented in other countries seeking to promote alternative fuels. Similar initiatives c</w:t>
      </w:r>
      <w:r w:rsidR="00C353E6" w:rsidRPr="00022913">
        <w:rPr>
          <w:rFonts w:cs="Arial"/>
          <w:szCs w:val="24"/>
        </w:rPr>
        <w:t>ould</w:t>
      </w:r>
      <w:r w:rsidRPr="00022913">
        <w:rPr>
          <w:rFonts w:cs="Arial"/>
          <w:szCs w:val="24"/>
        </w:rPr>
        <w:t xml:space="preserve"> be feasible in other countries with governmental and industry support, informed consumers, and carefully planned policies.</w:t>
      </w:r>
    </w:p>
    <w:p w:rsidR="0078480F" w:rsidRPr="008720F3" w:rsidRDefault="0078480F" w:rsidP="00022913">
      <w:pPr>
        <w:pStyle w:val="Heading2"/>
      </w:pPr>
      <w:bookmarkStart w:id="30" w:name="_Toc352854187"/>
      <w:r w:rsidRPr="008720F3">
        <w:t xml:space="preserve">Diesel </w:t>
      </w:r>
      <w:r w:rsidR="00D76E43" w:rsidRPr="008720F3">
        <w:t xml:space="preserve">Adoption </w:t>
      </w:r>
      <w:r w:rsidRPr="008720F3">
        <w:t>in Europe</w:t>
      </w:r>
      <w:bookmarkEnd w:id="30"/>
    </w:p>
    <w:p w:rsidR="003436F1" w:rsidRPr="00022913" w:rsidRDefault="003436F1" w:rsidP="002373AB">
      <w:pPr>
        <w:rPr>
          <w:rFonts w:cs="Arial"/>
          <w:szCs w:val="24"/>
        </w:rPr>
      </w:pPr>
      <w:r w:rsidRPr="00022913">
        <w:rPr>
          <w:rFonts w:cs="Arial"/>
          <w:szCs w:val="24"/>
        </w:rPr>
        <w:t>One of the most noteworthy shifts in passenger car markets in recent decades is the rapid adoption of diesel</w:t>
      </w:r>
      <w:r w:rsidR="00B814DF" w:rsidRPr="00022913">
        <w:rPr>
          <w:rFonts w:cs="Arial"/>
          <w:szCs w:val="24"/>
        </w:rPr>
        <w:t>-</w:t>
      </w:r>
      <w:r w:rsidRPr="00022913">
        <w:rPr>
          <w:rFonts w:cs="Arial"/>
          <w:szCs w:val="24"/>
        </w:rPr>
        <w:t xml:space="preserve">powered vehicles. This development was most pronounced in Europe where diesels </w:t>
      </w:r>
      <w:r w:rsidR="00B814DF" w:rsidRPr="00022913">
        <w:rPr>
          <w:rFonts w:cs="Arial"/>
          <w:szCs w:val="24"/>
        </w:rPr>
        <w:t>represented</w:t>
      </w:r>
      <w:r w:rsidRPr="00022913">
        <w:rPr>
          <w:rFonts w:cs="Arial"/>
          <w:szCs w:val="24"/>
        </w:rPr>
        <w:t xml:space="preserve"> 3.3 percent of all vehicles on the road in 1980</w:t>
      </w:r>
      <w:r w:rsidR="00B814DF" w:rsidRPr="00022913">
        <w:rPr>
          <w:rFonts w:cs="Arial"/>
          <w:szCs w:val="24"/>
        </w:rPr>
        <w:t xml:space="preserve"> and increased</w:t>
      </w:r>
      <w:r w:rsidRPr="00022913">
        <w:rPr>
          <w:rFonts w:cs="Arial"/>
          <w:szCs w:val="24"/>
        </w:rPr>
        <w:t xml:space="preserve"> to 32 percent by 2007</w:t>
      </w:r>
      <w:r w:rsidR="002628DC" w:rsidRPr="00022913">
        <w:rPr>
          <w:rFonts w:cs="Arial"/>
          <w:szCs w:val="24"/>
        </w:rPr>
        <w:t xml:space="preserve"> and 35.3 percent by 2010</w:t>
      </w:r>
      <w:r w:rsidRPr="00022913">
        <w:rPr>
          <w:rFonts w:cs="Arial"/>
          <w:szCs w:val="24"/>
        </w:rPr>
        <w:t>.</w:t>
      </w:r>
      <w:r w:rsidRPr="00022913">
        <w:rPr>
          <w:rStyle w:val="FootnoteReference"/>
          <w:rFonts w:cs="Arial"/>
          <w:szCs w:val="24"/>
        </w:rPr>
        <w:footnoteReference w:id="53"/>
      </w:r>
    </w:p>
    <w:p w:rsidR="002373AB" w:rsidRPr="00022913" w:rsidRDefault="0078480F" w:rsidP="002373AB">
      <w:pPr>
        <w:rPr>
          <w:rFonts w:cs="Arial"/>
          <w:szCs w:val="24"/>
        </w:rPr>
      </w:pPr>
      <w:r w:rsidRPr="00022913">
        <w:rPr>
          <w:rFonts w:cs="Arial"/>
          <w:szCs w:val="24"/>
        </w:rPr>
        <w:t xml:space="preserve">While diesel-engine automobiles </w:t>
      </w:r>
      <w:r w:rsidR="00B814DF" w:rsidRPr="00022913">
        <w:rPr>
          <w:rFonts w:cs="Arial"/>
          <w:szCs w:val="24"/>
        </w:rPr>
        <w:t>were</w:t>
      </w:r>
      <w:r w:rsidRPr="00022913">
        <w:rPr>
          <w:rFonts w:cs="Arial"/>
          <w:szCs w:val="24"/>
        </w:rPr>
        <w:t xml:space="preserve"> available on the European market as far back as the 1930s, early diesel engines were perceived as slow, large, heavy, and inflexible.</w:t>
      </w:r>
      <w:r w:rsidRPr="00022913">
        <w:rPr>
          <w:rStyle w:val="FootnoteReference"/>
          <w:rFonts w:cs="Arial"/>
          <w:szCs w:val="24"/>
        </w:rPr>
        <w:footnoteReference w:id="54"/>
      </w:r>
      <w:r w:rsidRPr="00022913">
        <w:rPr>
          <w:rFonts w:cs="Arial"/>
          <w:szCs w:val="24"/>
        </w:rPr>
        <w:t xml:space="preserve"> </w:t>
      </w:r>
      <w:r w:rsidR="002373AB" w:rsidRPr="00022913">
        <w:rPr>
          <w:rFonts w:cs="Arial"/>
          <w:szCs w:val="24"/>
        </w:rPr>
        <w:t>The traditional diesel engine had both advantages and drawbacks when compared to the gasoline engine. As already mentioned, diesel engines have better fuel economy than gasoline engines</w:t>
      </w:r>
      <w:r w:rsidR="00B814DF" w:rsidRPr="00022913">
        <w:rPr>
          <w:rFonts w:cs="Arial"/>
          <w:szCs w:val="24"/>
        </w:rPr>
        <w:t>;</w:t>
      </w:r>
      <w:r w:rsidR="002373AB" w:rsidRPr="00022913">
        <w:rPr>
          <w:rFonts w:cs="Arial"/>
          <w:szCs w:val="24"/>
        </w:rPr>
        <w:t xml:space="preserve"> </w:t>
      </w:r>
      <w:r w:rsidR="00ED1F77" w:rsidRPr="00022913">
        <w:rPr>
          <w:rFonts w:cs="Arial"/>
          <w:szCs w:val="24"/>
        </w:rPr>
        <w:t>their high fuel economy</w:t>
      </w:r>
      <w:r w:rsidR="002373AB" w:rsidRPr="00022913">
        <w:rPr>
          <w:rFonts w:cs="Arial"/>
          <w:szCs w:val="24"/>
        </w:rPr>
        <w:t xml:space="preserve"> also means they can be driven further on a full tank of fuel. </w:t>
      </w:r>
      <w:r w:rsidR="00ED1F77" w:rsidRPr="00022913">
        <w:rPr>
          <w:rFonts w:cs="Arial"/>
          <w:szCs w:val="24"/>
        </w:rPr>
        <w:t xml:space="preserve">Diesel engines have </w:t>
      </w:r>
      <w:r w:rsidR="00CE4A34" w:rsidRPr="00022913">
        <w:rPr>
          <w:rFonts w:cs="Arial"/>
          <w:szCs w:val="24"/>
        </w:rPr>
        <w:t>also</w:t>
      </w:r>
      <w:r w:rsidR="00ED1F77" w:rsidRPr="00022913">
        <w:rPr>
          <w:rFonts w:cs="Arial"/>
          <w:szCs w:val="24"/>
        </w:rPr>
        <w:t xml:space="preserve"> been</w:t>
      </w:r>
      <w:r w:rsidR="00CE4A34" w:rsidRPr="00022913">
        <w:rPr>
          <w:rFonts w:cs="Arial"/>
          <w:szCs w:val="24"/>
        </w:rPr>
        <w:t xml:space="preserve"> considered more reliable and durable. </w:t>
      </w:r>
      <w:r w:rsidR="00D800A6" w:rsidRPr="00022913">
        <w:rPr>
          <w:rFonts w:cs="Arial"/>
          <w:szCs w:val="24"/>
        </w:rPr>
        <w:t>Despite these advantages</w:t>
      </w:r>
      <w:r w:rsidR="00ED1F77" w:rsidRPr="00022913">
        <w:rPr>
          <w:rFonts w:cs="Arial"/>
          <w:szCs w:val="24"/>
        </w:rPr>
        <w:t xml:space="preserve">, the adoption of diesel engines in the light-duty vehicle fleet has </w:t>
      </w:r>
      <w:r w:rsidR="00ED1F77" w:rsidRPr="00022913">
        <w:rPr>
          <w:rFonts w:cs="Arial"/>
          <w:szCs w:val="24"/>
        </w:rPr>
        <w:lastRenderedPageBreak/>
        <w:t>been hindered due to their</w:t>
      </w:r>
      <w:r w:rsidR="002373AB" w:rsidRPr="00022913">
        <w:rPr>
          <w:rFonts w:cs="Arial"/>
          <w:szCs w:val="24"/>
        </w:rPr>
        <w:t xml:space="preserve"> being louder</w:t>
      </w:r>
      <w:r w:rsidR="00D800A6" w:rsidRPr="00022913">
        <w:rPr>
          <w:rFonts w:cs="Arial"/>
          <w:szCs w:val="24"/>
        </w:rPr>
        <w:t>, creating bad odors,</w:t>
      </w:r>
      <w:r w:rsidR="002373AB" w:rsidRPr="00022913">
        <w:rPr>
          <w:rFonts w:cs="Arial"/>
          <w:szCs w:val="24"/>
        </w:rPr>
        <w:t xml:space="preserve"> and having lower horsepower, speed, and acceleration compared to gasoline engines of equal size.</w:t>
      </w:r>
      <w:r w:rsidR="002373AB" w:rsidRPr="00022913">
        <w:rPr>
          <w:rStyle w:val="FootnoteReference"/>
          <w:rFonts w:cs="Arial"/>
          <w:szCs w:val="24"/>
        </w:rPr>
        <w:footnoteReference w:id="55"/>
      </w:r>
    </w:p>
    <w:p w:rsidR="0085411C" w:rsidRPr="00022913" w:rsidRDefault="0078480F" w:rsidP="0085411C">
      <w:pPr>
        <w:rPr>
          <w:rFonts w:cs="Arial"/>
          <w:szCs w:val="24"/>
        </w:rPr>
      </w:pPr>
      <w:r w:rsidRPr="00022913">
        <w:rPr>
          <w:rFonts w:cs="Arial"/>
          <w:szCs w:val="24"/>
        </w:rPr>
        <w:t xml:space="preserve">For many decades, the diesel engine was relegated to buses and trucks (both light- and heavy-duty). </w:t>
      </w:r>
      <w:r w:rsidR="00E40134" w:rsidRPr="00022913">
        <w:rPr>
          <w:rFonts w:cs="Arial"/>
          <w:szCs w:val="24"/>
        </w:rPr>
        <w:t xml:space="preserve">Since the </w:t>
      </w:r>
      <w:r w:rsidRPr="00022913">
        <w:rPr>
          <w:rFonts w:cs="Arial"/>
          <w:szCs w:val="24"/>
        </w:rPr>
        <w:t>1970s, however</w:t>
      </w:r>
      <w:r w:rsidR="00E40134" w:rsidRPr="00022913">
        <w:rPr>
          <w:rFonts w:cs="Arial"/>
          <w:szCs w:val="24"/>
        </w:rPr>
        <w:t>, diesel vehicles</w:t>
      </w:r>
      <w:r w:rsidRPr="00022913">
        <w:rPr>
          <w:rFonts w:cs="Arial"/>
          <w:szCs w:val="24"/>
        </w:rPr>
        <w:t xml:space="preserve"> </w:t>
      </w:r>
      <w:r w:rsidR="00B814DF" w:rsidRPr="00022913">
        <w:rPr>
          <w:rFonts w:cs="Arial"/>
          <w:szCs w:val="24"/>
        </w:rPr>
        <w:t xml:space="preserve">have </w:t>
      </w:r>
      <w:r w:rsidRPr="00022913">
        <w:rPr>
          <w:rFonts w:cs="Arial"/>
          <w:szCs w:val="24"/>
        </w:rPr>
        <w:t>gained popularity in Europe due to technological improvements</w:t>
      </w:r>
      <w:r w:rsidR="00B814DF" w:rsidRPr="00022913">
        <w:rPr>
          <w:rFonts w:cs="Arial"/>
          <w:szCs w:val="24"/>
        </w:rPr>
        <w:t xml:space="preserve"> and a favorable tax </w:t>
      </w:r>
      <w:r w:rsidR="00D800A6" w:rsidRPr="00022913">
        <w:rPr>
          <w:rFonts w:cs="Arial"/>
          <w:szCs w:val="24"/>
        </w:rPr>
        <w:t>treatment</w:t>
      </w:r>
      <w:r w:rsidRPr="00022913">
        <w:rPr>
          <w:rFonts w:cs="Arial"/>
          <w:szCs w:val="24"/>
        </w:rPr>
        <w:t>.</w:t>
      </w:r>
      <w:r w:rsidRPr="00022913">
        <w:rPr>
          <w:rStyle w:val="FootnoteReference"/>
          <w:rFonts w:cs="Arial"/>
          <w:szCs w:val="24"/>
        </w:rPr>
        <w:footnoteReference w:id="56"/>
      </w:r>
      <w:r w:rsidR="002373AB" w:rsidRPr="00022913">
        <w:rPr>
          <w:rFonts w:cs="Arial"/>
          <w:szCs w:val="24"/>
        </w:rPr>
        <w:t xml:space="preserve"> </w:t>
      </w:r>
      <w:r w:rsidR="00E40134" w:rsidRPr="00022913">
        <w:rPr>
          <w:rFonts w:cs="Arial"/>
          <w:szCs w:val="24"/>
        </w:rPr>
        <w:t>In 1990, the diesel share of passenger car sales</w:t>
      </w:r>
      <w:r w:rsidR="00B814DF" w:rsidRPr="00022913">
        <w:rPr>
          <w:rFonts w:cs="Arial"/>
          <w:szCs w:val="24"/>
        </w:rPr>
        <w:t xml:space="preserve"> in Europe</w:t>
      </w:r>
      <w:r w:rsidR="00E40134" w:rsidRPr="00022913">
        <w:rPr>
          <w:rFonts w:cs="Arial"/>
          <w:szCs w:val="24"/>
        </w:rPr>
        <w:t xml:space="preserve"> was 14 percent</w:t>
      </w:r>
      <w:r w:rsidR="00B814DF" w:rsidRPr="00022913">
        <w:rPr>
          <w:rFonts w:cs="Arial"/>
          <w:szCs w:val="24"/>
        </w:rPr>
        <w:t>;</w:t>
      </w:r>
      <w:r w:rsidR="00E40134" w:rsidRPr="00022913">
        <w:rPr>
          <w:rFonts w:cs="Arial"/>
          <w:szCs w:val="24"/>
        </w:rPr>
        <w:t xml:space="preserve"> by 1999</w:t>
      </w:r>
      <w:r w:rsidR="00B814DF" w:rsidRPr="00022913">
        <w:rPr>
          <w:rFonts w:cs="Arial"/>
          <w:szCs w:val="24"/>
        </w:rPr>
        <w:t>,</w:t>
      </w:r>
      <w:r w:rsidR="00E40134" w:rsidRPr="00022913">
        <w:rPr>
          <w:rFonts w:cs="Arial"/>
          <w:szCs w:val="24"/>
        </w:rPr>
        <w:t xml:space="preserve"> it had grown to more than 28 percent.</w:t>
      </w:r>
      <w:r w:rsidR="00E40134" w:rsidRPr="00022913">
        <w:rPr>
          <w:rStyle w:val="FootnoteReference"/>
          <w:rFonts w:cs="Arial"/>
          <w:szCs w:val="24"/>
        </w:rPr>
        <w:footnoteReference w:id="57"/>
      </w:r>
      <w:r w:rsidR="00E40134" w:rsidRPr="00022913">
        <w:rPr>
          <w:rFonts w:cs="Arial"/>
          <w:szCs w:val="24"/>
        </w:rPr>
        <w:t xml:space="preserve"> As of 2011, diesels constituted 55 percent of passenger cars sold in the European Union</w:t>
      </w:r>
      <w:r w:rsidR="00A76076" w:rsidRPr="00022913">
        <w:rPr>
          <w:rFonts w:cs="Arial"/>
          <w:szCs w:val="24"/>
        </w:rPr>
        <w:t>.</w:t>
      </w:r>
      <w:r w:rsidR="00A76076" w:rsidRPr="00022913">
        <w:rPr>
          <w:rStyle w:val="FootnoteReference"/>
          <w:rFonts w:cs="Arial"/>
          <w:szCs w:val="24"/>
        </w:rPr>
        <w:footnoteReference w:id="58"/>
      </w:r>
      <w:r w:rsidR="00A76076" w:rsidRPr="00022913">
        <w:rPr>
          <w:rFonts w:cs="Arial"/>
          <w:szCs w:val="24"/>
        </w:rPr>
        <w:t xml:space="preserve"> There is significant variation among European Union member states, with diesel vehicles constituting </w:t>
      </w:r>
      <w:r w:rsidR="00B814DF" w:rsidRPr="00022913">
        <w:rPr>
          <w:rFonts w:cs="Arial"/>
          <w:szCs w:val="24"/>
        </w:rPr>
        <w:t xml:space="preserve">only </w:t>
      </w:r>
      <w:r w:rsidR="00A76076" w:rsidRPr="00022913">
        <w:rPr>
          <w:rFonts w:cs="Arial"/>
          <w:szCs w:val="24"/>
        </w:rPr>
        <w:t>10 percent of new vehicle sales in Greece, but 70 percent</w:t>
      </w:r>
      <w:r w:rsidR="00E40134" w:rsidRPr="00022913">
        <w:rPr>
          <w:rFonts w:cs="Arial"/>
          <w:szCs w:val="24"/>
        </w:rPr>
        <w:t xml:space="preserve"> or more</w:t>
      </w:r>
      <w:r w:rsidR="00A76076" w:rsidRPr="00022913">
        <w:rPr>
          <w:rFonts w:cs="Arial"/>
          <w:szCs w:val="24"/>
        </w:rPr>
        <w:t xml:space="preserve"> of sales in Belgium, France, Ireland, </w:t>
      </w:r>
      <w:r w:rsidR="00E40134" w:rsidRPr="00022913">
        <w:rPr>
          <w:rFonts w:cs="Arial"/>
          <w:szCs w:val="24"/>
        </w:rPr>
        <w:t xml:space="preserve">Portugal, Spain, </w:t>
      </w:r>
      <w:r w:rsidR="00A76076" w:rsidRPr="00022913">
        <w:rPr>
          <w:rFonts w:cs="Arial"/>
          <w:szCs w:val="24"/>
        </w:rPr>
        <w:t>and the</w:t>
      </w:r>
      <w:r w:rsidR="00ED1F77" w:rsidRPr="00022913">
        <w:rPr>
          <w:rFonts w:cs="Arial"/>
          <w:szCs w:val="24"/>
        </w:rPr>
        <w:t xml:space="preserve"> United Kingdom.</w:t>
      </w:r>
    </w:p>
    <w:p w:rsidR="00ED1F77" w:rsidRPr="00022913" w:rsidRDefault="007278E0" w:rsidP="0085411C">
      <w:pPr>
        <w:rPr>
          <w:rFonts w:cs="Arial"/>
          <w:szCs w:val="24"/>
        </w:rPr>
      </w:pPr>
      <w:r w:rsidRPr="00022913">
        <w:rPr>
          <w:rFonts w:cs="Arial"/>
          <w:szCs w:val="24"/>
        </w:rPr>
        <w:t>The considerable</w:t>
      </w:r>
      <w:r w:rsidR="00ED1F77" w:rsidRPr="00022913">
        <w:rPr>
          <w:rFonts w:cs="Arial"/>
          <w:szCs w:val="24"/>
        </w:rPr>
        <w:t xml:space="preserve"> growth of diesel technology in Europe compares to a relatively poor rate of adoption in the United States, where diesel</w:t>
      </w:r>
      <w:r w:rsidR="00B814DF" w:rsidRPr="00022913">
        <w:rPr>
          <w:rFonts w:cs="Arial"/>
          <w:szCs w:val="24"/>
        </w:rPr>
        <w:t>’s</w:t>
      </w:r>
      <w:r w:rsidR="00ED1F77" w:rsidRPr="00022913">
        <w:rPr>
          <w:rFonts w:cs="Arial"/>
          <w:szCs w:val="24"/>
        </w:rPr>
        <w:t xml:space="preserve"> share of light-duty vehicles has ranged </w:t>
      </w:r>
      <w:r w:rsidR="00A0058F" w:rsidRPr="00022913">
        <w:rPr>
          <w:rFonts w:cs="Arial"/>
          <w:szCs w:val="24"/>
        </w:rPr>
        <w:t>from</w:t>
      </w:r>
      <w:r w:rsidR="00A61B89" w:rsidRPr="00022913">
        <w:rPr>
          <w:rFonts w:cs="Arial"/>
          <w:szCs w:val="24"/>
        </w:rPr>
        <w:t xml:space="preserve"> </w:t>
      </w:r>
      <w:r w:rsidR="00A0058F" w:rsidRPr="00022913">
        <w:rPr>
          <w:rFonts w:cs="Arial"/>
          <w:szCs w:val="24"/>
        </w:rPr>
        <w:t xml:space="preserve">one to four </w:t>
      </w:r>
      <w:r w:rsidR="00ED1F77" w:rsidRPr="00022913">
        <w:rPr>
          <w:rFonts w:cs="Arial"/>
          <w:szCs w:val="24"/>
        </w:rPr>
        <w:t xml:space="preserve">percent over the past decade. Much of the difference between </w:t>
      </w:r>
      <w:r w:rsidR="00A0058F" w:rsidRPr="00022913">
        <w:rPr>
          <w:rFonts w:cs="Arial"/>
          <w:szCs w:val="24"/>
        </w:rPr>
        <w:t xml:space="preserve">the </w:t>
      </w:r>
      <w:r w:rsidR="00ED1F77" w:rsidRPr="00022913">
        <w:rPr>
          <w:rFonts w:cs="Arial"/>
          <w:szCs w:val="24"/>
        </w:rPr>
        <w:t>adoption rates of diesel in Europe and the United States can be attributed to differences in average fuel prices, tax polic</w:t>
      </w:r>
      <w:r w:rsidR="00A0058F" w:rsidRPr="00022913">
        <w:rPr>
          <w:rFonts w:cs="Arial"/>
          <w:szCs w:val="24"/>
        </w:rPr>
        <w:t>ies</w:t>
      </w:r>
      <w:r w:rsidR="00D800A6" w:rsidRPr="00022913">
        <w:rPr>
          <w:rFonts w:cs="Arial"/>
          <w:szCs w:val="24"/>
        </w:rPr>
        <w:t>,</w:t>
      </w:r>
      <w:r w:rsidR="00ED1F77" w:rsidRPr="00022913">
        <w:rPr>
          <w:rFonts w:cs="Arial"/>
          <w:szCs w:val="24"/>
        </w:rPr>
        <w:t xml:space="preserve"> emissions standards</w:t>
      </w:r>
      <w:r w:rsidR="00D800A6" w:rsidRPr="00022913">
        <w:rPr>
          <w:rFonts w:cs="Arial"/>
          <w:szCs w:val="24"/>
        </w:rPr>
        <w:t>, and consumer preferences</w:t>
      </w:r>
      <w:r w:rsidR="00ED1F77" w:rsidRPr="00022913">
        <w:rPr>
          <w:rFonts w:cs="Arial"/>
          <w:szCs w:val="24"/>
        </w:rPr>
        <w:t>.</w:t>
      </w:r>
      <w:r w:rsidR="00ED1F77" w:rsidRPr="00022913">
        <w:rPr>
          <w:rStyle w:val="FootnoteReference"/>
          <w:rFonts w:cs="Arial"/>
          <w:szCs w:val="24"/>
        </w:rPr>
        <w:footnoteReference w:id="59"/>
      </w:r>
      <w:r w:rsidR="00537BC9" w:rsidRPr="00022913">
        <w:rPr>
          <w:rFonts w:cs="Arial"/>
          <w:szCs w:val="24"/>
        </w:rPr>
        <w:t xml:space="preserve"> In addition, the U.S. diesel vehicles sold </w:t>
      </w:r>
      <w:r w:rsidR="00A06E0A" w:rsidRPr="00022913">
        <w:rPr>
          <w:rFonts w:cs="Arial"/>
          <w:szCs w:val="24"/>
        </w:rPr>
        <w:t xml:space="preserve">during the </w:t>
      </w:r>
      <w:r w:rsidR="00537BC9" w:rsidRPr="00022913">
        <w:rPr>
          <w:rFonts w:cs="Arial"/>
          <w:szCs w:val="24"/>
        </w:rPr>
        <w:t>1980s were dirty and low-quality, giving diesel vehicles a bad reputation in the United States.</w:t>
      </w:r>
    </w:p>
    <w:p w:rsidR="001C2439" w:rsidRPr="00022913" w:rsidRDefault="00FA7D84" w:rsidP="0085411C">
      <w:pPr>
        <w:rPr>
          <w:rFonts w:cs="Arial"/>
          <w:szCs w:val="24"/>
        </w:rPr>
      </w:pPr>
      <w:r w:rsidRPr="00022913">
        <w:rPr>
          <w:rFonts w:cs="Arial"/>
          <w:szCs w:val="24"/>
        </w:rPr>
        <w:t>In December 2012, the average end user price</w:t>
      </w:r>
      <w:r w:rsidR="00670B59" w:rsidRPr="00022913">
        <w:rPr>
          <w:rFonts w:cs="Arial"/>
          <w:szCs w:val="24"/>
        </w:rPr>
        <w:t>s for</w:t>
      </w:r>
      <w:r w:rsidRPr="00022913">
        <w:rPr>
          <w:rFonts w:cs="Arial"/>
          <w:szCs w:val="24"/>
        </w:rPr>
        <w:t xml:space="preserve"> gasoline</w:t>
      </w:r>
      <w:r w:rsidR="00537BC9" w:rsidRPr="00022913">
        <w:rPr>
          <w:rFonts w:cs="Arial"/>
          <w:szCs w:val="24"/>
        </w:rPr>
        <w:t xml:space="preserve"> and diesel were between $3</w:t>
      </w:r>
      <w:r w:rsidR="00670B59" w:rsidRPr="00022913">
        <w:rPr>
          <w:rFonts w:cs="Arial"/>
          <w:szCs w:val="24"/>
        </w:rPr>
        <w:t xml:space="preserve"> </w:t>
      </w:r>
      <w:r w:rsidR="00A61B89" w:rsidRPr="00022913">
        <w:rPr>
          <w:rFonts w:cs="Arial"/>
          <w:szCs w:val="24"/>
        </w:rPr>
        <w:t>-</w:t>
      </w:r>
      <w:r w:rsidR="00537BC9" w:rsidRPr="00022913">
        <w:rPr>
          <w:rFonts w:cs="Arial"/>
          <w:szCs w:val="24"/>
        </w:rPr>
        <w:t xml:space="preserve"> $4</w:t>
      </w:r>
      <w:r w:rsidRPr="00022913">
        <w:rPr>
          <w:rFonts w:cs="Arial"/>
          <w:szCs w:val="24"/>
        </w:rPr>
        <w:t xml:space="preserve"> per gallon in the United States</w:t>
      </w:r>
      <w:r w:rsidR="00A0058F" w:rsidRPr="00022913">
        <w:rPr>
          <w:rFonts w:cs="Arial"/>
          <w:szCs w:val="24"/>
        </w:rPr>
        <w:t xml:space="preserve">; </w:t>
      </w:r>
      <w:r w:rsidRPr="00022913">
        <w:rPr>
          <w:rFonts w:cs="Arial"/>
          <w:szCs w:val="24"/>
        </w:rPr>
        <w:t xml:space="preserve">in many European countries, the </w:t>
      </w:r>
      <w:r w:rsidR="00537BC9" w:rsidRPr="00022913">
        <w:rPr>
          <w:rFonts w:cs="Arial"/>
          <w:szCs w:val="24"/>
        </w:rPr>
        <w:t xml:space="preserve">per-gallon </w:t>
      </w:r>
      <w:r w:rsidRPr="00022913">
        <w:rPr>
          <w:rFonts w:cs="Arial"/>
          <w:szCs w:val="24"/>
        </w:rPr>
        <w:t>price</w:t>
      </w:r>
      <w:r w:rsidR="00670B59" w:rsidRPr="00022913">
        <w:rPr>
          <w:rFonts w:cs="Arial"/>
          <w:szCs w:val="24"/>
        </w:rPr>
        <w:t xml:space="preserve"> varied from </w:t>
      </w:r>
      <w:r w:rsidR="00537BC9" w:rsidRPr="00022913">
        <w:rPr>
          <w:rFonts w:cs="Arial"/>
          <w:szCs w:val="24"/>
        </w:rPr>
        <w:t xml:space="preserve">$6 - $8 for gasoline and </w:t>
      </w:r>
      <w:r w:rsidR="00670B59" w:rsidRPr="00022913">
        <w:rPr>
          <w:rFonts w:cs="Arial"/>
          <w:szCs w:val="24"/>
        </w:rPr>
        <w:t>$5</w:t>
      </w:r>
      <w:r w:rsidRPr="00022913">
        <w:rPr>
          <w:rFonts w:cs="Arial"/>
          <w:szCs w:val="24"/>
        </w:rPr>
        <w:t xml:space="preserve"> </w:t>
      </w:r>
      <w:r w:rsidR="00A61B89" w:rsidRPr="00022913">
        <w:rPr>
          <w:rFonts w:cs="Arial"/>
          <w:szCs w:val="24"/>
        </w:rPr>
        <w:t>-</w:t>
      </w:r>
      <w:r w:rsidR="00537BC9" w:rsidRPr="00022913">
        <w:rPr>
          <w:rFonts w:cs="Arial"/>
          <w:szCs w:val="24"/>
        </w:rPr>
        <w:t xml:space="preserve"> $7</w:t>
      </w:r>
      <w:r w:rsidR="00670B59" w:rsidRPr="00022913">
        <w:rPr>
          <w:rFonts w:cs="Arial"/>
          <w:szCs w:val="24"/>
        </w:rPr>
        <w:t xml:space="preserve"> </w:t>
      </w:r>
      <w:r w:rsidR="00537BC9" w:rsidRPr="00022913">
        <w:rPr>
          <w:rFonts w:cs="Arial"/>
          <w:szCs w:val="24"/>
        </w:rPr>
        <w:t>for diesel depending on the country</w:t>
      </w:r>
      <w:r w:rsidR="00670B59" w:rsidRPr="00022913">
        <w:rPr>
          <w:rFonts w:cs="Arial"/>
          <w:szCs w:val="24"/>
        </w:rPr>
        <w:t>.</w:t>
      </w:r>
      <w:r w:rsidR="005670E5" w:rsidRPr="00022913">
        <w:rPr>
          <w:rStyle w:val="FootnoteReference"/>
          <w:rFonts w:cs="Arial"/>
          <w:szCs w:val="24"/>
        </w:rPr>
        <w:footnoteReference w:id="60"/>
      </w:r>
      <w:r w:rsidR="00670B59" w:rsidRPr="00022913">
        <w:rPr>
          <w:rFonts w:cs="Arial"/>
          <w:szCs w:val="24"/>
        </w:rPr>
        <w:t xml:space="preserve"> </w:t>
      </w:r>
      <w:r w:rsidR="00234D79" w:rsidRPr="00022913">
        <w:rPr>
          <w:rFonts w:cs="Arial"/>
          <w:szCs w:val="24"/>
        </w:rPr>
        <w:t xml:space="preserve">Higher European fuel costs are not a result of limited availability or higher costs associated with producing or delivering fuel; the base cost of fuels is not </w:t>
      </w:r>
      <w:r w:rsidR="00715731" w:rsidRPr="00022913">
        <w:rPr>
          <w:rFonts w:cs="Arial"/>
          <w:szCs w:val="24"/>
        </w:rPr>
        <w:t>substantially</w:t>
      </w:r>
      <w:r w:rsidR="00234D79" w:rsidRPr="00022913">
        <w:rPr>
          <w:rFonts w:cs="Arial"/>
          <w:szCs w:val="24"/>
        </w:rPr>
        <w:t xml:space="preserve"> different in Europe and the United States. The reason that fuels are more expensive in Europe is rooted in </w:t>
      </w:r>
      <w:r w:rsidR="002E5B55" w:rsidRPr="00022913">
        <w:rPr>
          <w:rFonts w:cs="Arial"/>
          <w:szCs w:val="24"/>
        </w:rPr>
        <w:t xml:space="preserve">tax </w:t>
      </w:r>
      <w:r w:rsidR="00234D79" w:rsidRPr="00022913">
        <w:rPr>
          <w:rFonts w:cs="Arial"/>
          <w:szCs w:val="24"/>
        </w:rPr>
        <w:t xml:space="preserve">policy: average fuel taxes in Europe (30-60 percent of end-user fuel cost) are significantly higher than in the United States (12-13 percent of end-user fuel cost). </w:t>
      </w:r>
    </w:p>
    <w:p w:rsidR="00FA7D84" w:rsidRPr="00022913" w:rsidRDefault="00A0058F" w:rsidP="0085411C">
      <w:pPr>
        <w:rPr>
          <w:rFonts w:cs="Arial"/>
          <w:szCs w:val="24"/>
        </w:rPr>
      </w:pPr>
      <w:r w:rsidRPr="00022913">
        <w:rPr>
          <w:rFonts w:cs="Arial"/>
          <w:szCs w:val="24"/>
        </w:rPr>
        <w:t>I</w:t>
      </w:r>
      <w:r w:rsidR="00124A2B" w:rsidRPr="00022913">
        <w:rPr>
          <w:rFonts w:cs="Arial"/>
          <w:szCs w:val="24"/>
        </w:rPr>
        <w:t xml:space="preserve">n 1993 </w:t>
      </w:r>
      <w:r w:rsidR="001C2439" w:rsidRPr="00022913">
        <w:rPr>
          <w:rFonts w:cs="Arial"/>
          <w:szCs w:val="24"/>
        </w:rPr>
        <w:t>the European Union established minimum fuel tax levels for member countries</w:t>
      </w:r>
      <w:r w:rsidRPr="00022913">
        <w:rPr>
          <w:rFonts w:cs="Arial"/>
          <w:szCs w:val="24"/>
        </w:rPr>
        <w:t>, to avoid a “race to the bottom” in fuel taxes</w:t>
      </w:r>
      <w:r w:rsidR="00124A2B" w:rsidRPr="00022913">
        <w:rPr>
          <w:rFonts w:cs="Arial"/>
          <w:szCs w:val="24"/>
        </w:rPr>
        <w:t xml:space="preserve">. Current </w:t>
      </w:r>
      <w:r w:rsidR="00DE46FA" w:rsidRPr="00022913">
        <w:rPr>
          <w:rFonts w:cs="Arial"/>
          <w:szCs w:val="24"/>
        </w:rPr>
        <w:t xml:space="preserve">minimum tax </w:t>
      </w:r>
      <w:r w:rsidR="00124A2B" w:rsidRPr="00022913">
        <w:rPr>
          <w:rFonts w:cs="Arial"/>
          <w:szCs w:val="24"/>
        </w:rPr>
        <w:t>rates are</w:t>
      </w:r>
      <w:r w:rsidR="001C2439" w:rsidRPr="00022913">
        <w:rPr>
          <w:rFonts w:cs="Arial"/>
          <w:szCs w:val="24"/>
        </w:rPr>
        <w:t xml:space="preserve"> equal to $1.76 per gallon for gasoline and $1.62 for diesel, </w:t>
      </w:r>
      <w:r w:rsidRPr="00022913">
        <w:rPr>
          <w:rFonts w:cs="Arial"/>
          <w:szCs w:val="24"/>
        </w:rPr>
        <w:t>al</w:t>
      </w:r>
      <w:r w:rsidR="001C2439" w:rsidRPr="00022913">
        <w:rPr>
          <w:rFonts w:cs="Arial"/>
          <w:szCs w:val="24"/>
        </w:rPr>
        <w:t>though many countries have significantly higher fuel taxes.</w:t>
      </w:r>
      <w:r w:rsidR="00124A2B" w:rsidRPr="00022913">
        <w:rPr>
          <w:rStyle w:val="FootnoteReference"/>
          <w:rFonts w:cs="Arial"/>
          <w:szCs w:val="24"/>
        </w:rPr>
        <w:footnoteReference w:id="61"/>
      </w:r>
      <w:r w:rsidR="001C2439" w:rsidRPr="00022913">
        <w:rPr>
          <w:rFonts w:cs="Arial"/>
          <w:szCs w:val="24"/>
        </w:rPr>
        <w:t xml:space="preserve"> Considerably </w:t>
      </w:r>
      <w:r w:rsidR="00670B59" w:rsidRPr="00022913">
        <w:rPr>
          <w:rFonts w:cs="Arial"/>
          <w:szCs w:val="24"/>
        </w:rPr>
        <w:t>higher fuel prices provide</w:t>
      </w:r>
      <w:r w:rsidR="005670E5" w:rsidRPr="00022913">
        <w:rPr>
          <w:rFonts w:cs="Arial"/>
          <w:szCs w:val="24"/>
        </w:rPr>
        <w:t xml:space="preserve"> Europeans with a greater </w:t>
      </w:r>
      <w:r w:rsidR="00670B59" w:rsidRPr="00022913">
        <w:rPr>
          <w:rFonts w:cs="Arial"/>
          <w:szCs w:val="24"/>
        </w:rPr>
        <w:t>incentive to purchase vehicles with higher fuel economy</w:t>
      </w:r>
      <w:r w:rsidR="005670E5" w:rsidRPr="00022913">
        <w:rPr>
          <w:rFonts w:cs="Arial"/>
          <w:szCs w:val="24"/>
        </w:rPr>
        <w:t>, providing a boost to fuel-efficient diesels.</w:t>
      </w:r>
    </w:p>
    <w:p w:rsidR="00124A2B" w:rsidRPr="00022913" w:rsidRDefault="005670E5" w:rsidP="0085411C">
      <w:pPr>
        <w:rPr>
          <w:rFonts w:cs="Arial"/>
          <w:szCs w:val="24"/>
        </w:rPr>
      </w:pPr>
      <w:r w:rsidRPr="00022913">
        <w:rPr>
          <w:rFonts w:cs="Arial"/>
          <w:szCs w:val="24"/>
        </w:rPr>
        <w:t>In addition to higher overall fuel prices driving the adoption of diesel-powered vehicles, the price differential between gasoline and diesel prices</w:t>
      </w:r>
      <w:r w:rsidR="00A0058F" w:rsidRPr="00022913">
        <w:rPr>
          <w:rFonts w:cs="Arial"/>
          <w:szCs w:val="24"/>
        </w:rPr>
        <w:t xml:space="preserve"> in Europe</w:t>
      </w:r>
      <w:r w:rsidRPr="00022913">
        <w:rPr>
          <w:rFonts w:cs="Arial"/>
          <w:szCs w:val="24"/>
        </w:rPr>
        <w:t xml:space="preserve"> makes diesel </w:t>
      </w:r>
      <w:r w:rsidR="008206A3" w:rsidRPr="00022913">
        <w:rPr>
          <w:rFonts w:cs="Arial"/>
          <w:szCs w:val="24"/>
        </w:rPr>
        <w:t xml:space="preserve">even </w:t>
      </w:r>
      <w:r w:rsidRPr="00022913">
        <w:rPr>
          <w:rFonts w:cs="Arial"/>
          <w:szCs w:val="24"/>
        </w:rPr>
        <w:t>more attractive.</w:t>
      </w:r>
      <w:r w:rsidR="008206A3" w:rsidRPr="00022913">
        <w:rPr>
          <w:rFonts w:cs="Arial"/>
          <w:szCs w:val="24"/>
        </w:rPr>
        <w:t xml:space="preserve"> While </w:t>
      </w:r>
      <w:r w:rsidR="008206A3" w:rsidRPr="00022913">
        <w:rPr>
          <w:rFonts w:cs="Arial"/>
          <w:szCs w:val="24"/>
        </w:rPr>
        <w:lastRenderedPageBreak/>
        <w:t>diesel is usually more expensive than gasoline</w:t>
      </w:r>
      <w:r w:rsidR="001C2439" w:rsidRPr="00022913">
        <w:rPr>
          <w:rFonts w:cs="Arial"/>
          <w:szCs w:val="24"/>
        </w:rPr>
        <w:t xml:space="preserve"> in the United States</w:t>
      </w:r>
      <w:r w:rsidR="008206A3" w:rsidRPr="00022913">
        <w:rPr>
          <w:rFonts w:cs="Arial"/>
          <w:szCs w:val="24"/>
        </w:rPr>
        <w:t xml:space="preserve">, the opposite is often true in Europe. </w:t>
      </w:r>
      <w:r w:rsidR="00670491" w:rsidRPr="00022913">
        <w:rPr>
          <w:rFonts w:cs="Arial"/>
          <w:szCs w:val="24"/>
        </w:rPr>
        <w:t>Over the course of a year, a</w:t>
      </w:r>
      <w:r w:rsidR="00E40134" w:rsidRPr="00022913">
        <w:rPr>
          <w:rFonts w:cs="Arial"/>
          <w:szCs w:val="24"/>
        </w:rPr>
        <w:t>n</w:t>
      </w:r>
      <w:r w:rsidR="002373AB" w:rsidRPr="00022913">
        <w:rPr>
          <w:rFonts w:cs="Arial"/>
          <w:szCs w:val="24"/>
        </w:rPr>
        <w:t xml:space="preserve"> average driver in </w:t>
      </w:r>
      <w:r w:rsidR="00E40134" w:rsidRPr="00022913">
        <w:rPr>
          <w:rFonts w:cs="Arial"/>
          <w:szCs w:val="24"/>
        </w:rPr>
        <w:t>Europe could save hundreds of dollars on fuel</w:t>
      </w:r>
      <w:r w:rsidR="00685D3F" w:rsidRPr="00022913">
        <w:rPr>
          <w:rFonts w:cs="Arial"/>
          <w:szCs w:val="24"/>
        </w:rPr>
        <w:t xml:space="preserve"> </w:t>
      </w:r>
      <w:r w:rsidR="00670491" w:rsidRPr="00022913">
        <w:rPr>
          <w:rFonts w:cs="Arial"/>
          <w:szCs w:val="24"/>
        </w:rPr>
        <w:t>by driving a diesel-powered vehicle rather than a gasoline-powered one</w:t>
      </w:r>
      <w:r w:rsidR="00685D3F" w:rsidRPr="00022913">
        <w:rPr>
          <w:rFonts w:cs="Arial"/>
          <w:szCs w:val="24"/>
        </w:rPr>
        <w:t>.</w:t>
      </w:r>
      <w:r w:rsidR="00685D3F" w:rsidRPr="00022913">
        <w:rPr>
          <w:rStyle w:val="FootnoteReference"/>
          <w:rFonts w:cs="Arial"/>
          <w:szCs w:val="24"/>
        </w:rPr>
        <w:footnoteReference w:id="62"/>
      </w:r>
      <w:r w:rsidR="00685D3F" w:rsidRPr="00022913">
        <w:rPr>
          <w:rFonts w:cs="Arial"/>
          <w:szCs w:val="24"/>
        </w:rPr>
        <w:t xml:space="preserve"> </w:t>
      </w:r>
    </w:p>
    <w:p w:rsidR="0085411C" w:rsidRPr="00022913" w:rsidRDefault="008206A3" w:rsidP="0085411C">
      <w:pPr>
        <w:rPr>
          <w:rFonts w:cs="Arial"/>
          <w:szCs w:val="24"/>
        </w:rPr>
      </w:pPr>
      <w:r w:rsidRPr="00022913">
        <w:rPr>
          <w:rFonts w:cs="Arial"/>
          <w:szCs w:val="24"/>
        </w:rPr>
        <w:t>The price differential between gasoline and diesel is</w:t>
      </w:r>
      <w:r w:rsidR="0085411C" w:rsidRPr="00022913">
        <w:rPr>
          <w:rFonts w:cs="Arial"/>
          <w:szCs w:val="24"/>
        </w:rPr>
        <w:t xml:space="preserve"> primarily driven </w:t>
      </w:r>
      <w:r w:rsidR="00670491" w:rsidRPr="00022913">
        <w:rPr>
          <w:rFonts w:cs="Arial"/>
          <w:szCs w:val="24"/>
        </w:rPr>
        <w:t>by tax policy in Europe</w:t>
      </w:r>
      <w:r w:rsidR="00252D0A" w:rsidRPr="00022913">
        <w:rPr>
          <w:rFonts w:cs="Arial"/>
          <w:szCs w:val="24"/>
        </w:rPr>
        <w:t>.</w:t>
      </w:r>
      <w:r w:rsidR="00124A2B" w:rsidRPr="00022913">
        <w:rPr>
          <w:rFonts w:cs="Arial"/>
          <w:szCs w:val="24"/>
        </w:rPr>
        <w:t xml:space="preserve"> </w:t>
      </w:r>
      <w:r w:rsidR="00252D0A" w:rsidRPr="00022913">
        <w:rPr>
          <w:rFonts w:cs="Arial"/>
          <w:szCs w:val="24"/>
        </w:rPr>
        <w:t xml:space="preserve">The policy </w:t>
      </w:r>
      <w:r w:rsidR="00124A2B" w:rsidRPr="00022913">
        <w:rPr>
          <w:rFonts w:cs="Arial"/>
          <w:szCs w:val="24"/>
        </w:rPr>
        <w:t xml:space="preserve">was </w:t>
      </w:r>
      <w:r w:rsidR="0085411C" w:rsidRPr="00022913">
        <w:rPr>
          <w:rFonts w:cs="Arial"/>
          <w:szCs w:val="24"/>
        </w:rPr>
        <w:t xml:space="preserve">intended to support freight transport, </w:t>
      </w:r>
      <w:r w:rsidR="00124A2B" w:rsidRPr="00022913">
        <w:rPr>
          <w:rFonts w:cs="Arial"/>
          <w:szCs w:val="24"/>
        </w:rPr>
        <w:t>improve energy security, and reduce</w:t>
      </w:r>
      <w:r w:rsidR="00E40134" w:rsidRPr="00022913">
        <w:rPr>
          <w:rFonts w:cs="Arial"/>
          <w:szCs w:val="24"/>
        </w:rPr>
        <w:t xml:space="preserve"> </w:t>
      </w:r>
      <w:r w:rsidR="00E97A58" w:rsidRPr="00022913">
        <w:rPr>
          <w:rFonts w:cs="Arial"/>
          <w:szCs w:val="24"/>
        </w:rPr>
        <w:t xml:space="preserve">GHG </w:t>
      </w:r>
      <w:r w:rsidR="00E40134" w:rsidRPr="00022913">
        <w:rPr>
          <w:rFonts w:cs="Arial"/>
          <w:szCs w:val="24"/>
        </w:rPr>
        <w:t>emissions</w:t>
      </w:r>
      <w:r w:rsidR="00A61B89" w:rsidRPr="00022913">
        <w:rPr>
          <w:rFonts w:cs="Arial"/>
          <w:szCs w:val="24"/>
        </w:rPr>
        <w:t xml:space="preserve">. </w:t>
      </w:r>
      <w:r w:rsidR="00252D0A" w:rsidRPr="00022913">
        <w:rPr>
          <w:rFonts w:cs="Arial"/>
          <w:szCs w:val="24"/>
        </w:rPr>
        <w:t>I</w:t>
      </w:r>
      <w:r w:rsidR="00E97A58" w:rsidRPr="00022913">
        <w:rPr>
          <w:rFonts w:cs="Arial"/>
          <w:szCs w:val="24"/>
        </w:rPr>
        <w:t>n recent years, the majority of the emphasis has been on</w:t>
      </w:r>
      <w:r w:rsidR="0037255D" w:rsidRPr="00022913">
        <w:rPr>
          <w:rFonts w:cs="Arial"/>
          <w:szCs w:val="24"/>
        </w:rPr>
        <w:t xml:space="preserve"> </w:t>
      </w:r>
      <w:r w:rsidR="00E97A58" w:rsidRPr="00022913">
        <w:rPr>
          <w:rFonts w:cs="Arial"/>
          <w:szCs w:val="24"/>
        </w:rPr>
        <w:t>reducing GHG emissions</w:t>
      </w:r>
      <w:r w:rsidR="0085411C" w:rsidRPr="00022913">
        <w:rPr>
          <w:rFonts w:cs="Arial"/>
          <w:szCs w:val="24"/>
        </w:rPr>
        <w:t>.</w:t>
      </w:r>
      <w:r w:rsidR="00670491" w:rsidRPr="00022913">
        <w:rPr>
          <w:rStyle w:val="FootnoteReference"/>
          <w:rFonts w:cs="Arial"/>
          <w:szCs w:val="24"/>
        </w:rPr>
        <w:footnoteReference w:id="63"/>
      </w:r>
      <w:r w:rsidR="00E97A58" w:rsidRPr="00022913">
        <w:rPr>
          <w:rFonts w:cs="Arial"/>
          <w:szCs w:val="24"/>
        </w:rPr>
        <w:t xml:space="preserve"> In 2002, the European Union ratified the Kyoto Protocol in which it committed to an eight percent reduction target for 2008-2012 from its 1990 GHG emissions levels. In 2008, the European Union adopted </w:t>
      </w:r>
      <w:r w:rsidR="00252D0A" w:rsidRPr="00022913">
        <w:rPr>
          <w:rFonts w:cs="Arial"/>
          <w:szCs w:val="24"/>
        </w:rPr>
        <w:t xml:space="preserve">even </w:t>
      </w:r>
      <w:r w:rsidR="00E97A58" w:rsidRPr="00022913">
        <w:rPr>
          <w:rFonts w:cs="Arial"/>
          <w:szCs w:val="24"/>
        </w:rPr>
        <w:t>more aggressive targets for 2020 (20 percent of 1990 emissions levels), and in 2011, it created a roadmap that would lead to an 80 percent reduction from 1990 levels by 2050.</w:t>
      </w:r>
      <w:r w:rsidR="003A1919" w:rsidRPr="00022913">
        <w:rPr>
          <w:rStyle w:val="FootnoteReference"/>
          <w:rFonts w:cs="Arial"/>
          <w:szCs w:val="24"/>
        </w:rPr>
        <w:footnoteReference w:id="64"/>
      </w:r>
    </w:p>
    <w:p w:rsidR="004F6E0D" w:rsidRPr="00022913" w:rsidRDefault="005F35F9" w:rsidP="0085411C">
      <w:pPr>
        <w:rPr>
          <w:rFonts w:cs="Arial"/>
          <w:szCs w:val="24"/>
        </w:rPr>
      </w:pPr>
      <w:r w:rsidRPr="00022913">
        <w:rPr>
          <w:rFonts w:cs="Arial"/>
          <w:szCs w:val="24"/>
        </w:rPr>
        <w:t>Figure 2</w:t>
      </w:r>
      <w:r w:rsidR="004F6E0D" w:rsidRPr="00022913">
        <w:rPr>
          <w:rFonts w:cs="Arial"/>
          <w:szCs w:val="24"/>
        </w:rPr>
        <w:t xml:space="preserve"> displays the differential tax in several European countries as of December 2012.</w:t>
      </w:r>
      <w:r w:rsidR="008206A3" w:rsidRPr="00022913">
        <w:rPr>
          <w:rStyle w:val="FootnoteReference"/>
          <w:rFonts w:cs="Arial"/>
          <w:szCs w:val="24"/>
        </w:rPr>
        <w:footnoteReference w:id="65"/>
      </w:r>
      <w:r w:rsidR="00A8227E" w:rsidRPr="00022913">
        <w:rPr>
          <w:rFonts w:cs="Arial"/>
          <w:szCs w:val="24"/>
        </w:rPr>
        <w:t xml:space="preserve"> The table below the chart</w:t>
      </w:r>
      <w:r w:rsidR="004F6E0D" w:rsidRPr="00022913">
        <w:rPr>
          <w:rFonts w:cs="Arial"/>
          <w:szCs w:val="24"/>
        </w:rPr>
        <w:t xml:space="preserve"> lists total passenger car sales for 2011 and diesel</w:t>
      </w:r>
      <w:r w:rsidR="00252D0A" w:rsidRPr="00022913">
        <w:rPr>
          <w:rFonts w:cs="Arial"/>
          <w:szCs w:val="24"/>
        </w:rPr>
        <w:t>’s</w:t>
      </w:r>
      <w:r w:rsidR="004F6E0D" w:rsidRPr="00022913">
        <w:rPr>
          <w:rFonts w:cs="Arial"/>
          <w:szCs w:val="24"/>
        </w:rPr>
        <w:t xml:space="preserve"> share of those sales for each country.</w:t>
      </w:r>
      <w:r w:rsidR="005841F7" w:rsidRPr="00022913">
        <w:rPr>
          <w:rFonts w:cs="Arial"/>
          <w:szCs w:val="24"/>
        </w:rPr>
        <w:t xml:space="preserve"> </w:t>
      </w:r>
      <w:r w:rsidR="00DE46FA" w:rsidRPr="00022913">
        <w:rPr>
          <w:rFonts w:cs="Arial"/>
          <w:szCs w:val="24"/>
        </w:rPr>
        <w:t>While i</w:t>
      </w:r>
      <w:r w:rsidR="005D0490" w:rsidRPr="00022913">
        <w:rPr>
          <w:rFonts w:cs="Arial"/>
          <w:szCs w:val="24"/>
        </w:rPr>
        <w:t>n the United States, fuel taxes vary by state</w:t>
      </w:r>
      <w:r w:rsidR="00252D0A" w:rsidRPr="00022913">
        <w:rPr>
          <w:rFonts w:cs="Arial"/>
          <w:szCs w:val="24"/>
        </w:rPr>
        <w:t>;</w:t>
      </w:r>
      <w:r w:rsidR="005D0490" w:rsidRPr="00022913">
        <w:rPr>
          <w:rFonts w:cs="Arial"/>
          <w:szCs w:val="24"/>
        </w:rPr>
        <w:t xml:space="preserve"> the average tax paid by the end user </w:t>
      </w:r>
      <w:r w:rsidR="005841F7" w:rsidRPr="00022913">
        <w:rPr>
          <w:rFonts w:cs="Arial"/>
          <w:szCs w:val="24"/>
        </w:rPr>
        <w:t xml:space="preserve">is $0.42 per gallon for gasoline and $0.48 per gallon </w:t>
      </w:r>
      <w:r w:rsidR="00252D0A" w:rsidRPr="00022913">
        <w:rPr>
          <w:rFonts w:cs="Arial"/>
          <w:szCs w:val="24"/>
        </w:rPr>
        <w:t>for</w:t>
      </w:r>
      <w:r w:rsidR="005841F7" w:rsidRPr="00022913">
        <w:rPr>
          <w:rFonts w:cs="Arial"/>
          <w:szCs w:val="24"/>
        </w:rPr>
        <w:t xml:space="preserve"> diesel. In Canada, the tax is $1.51 on gasoline and $1.19 on diesel.</w:t>
      </w:r>
      <w:r w:rsidR="005D0490" w:rsidRPr="00022913">
        <w:rPr>
          <w:rFonts w:cs="Arial"/>
          <w:szCs w:val="24"/>
        </w:rPr>
        <w:t xml:space="preserve"> Compared to North America, European taxes on fuel tend to be substantially higher, </w:t>
      </w:r>
      <w:r w:rsidR="008206A3" w:rsidRPr="00022913">
        <w:rPr>
          <w:rFonts w:cs="Arial"/>
          <w:szCs w:val="24"/>
        </w:rPr>
        <w:t>with a greater</w:t>
      </w:r>
      <w:r w:rsidR="005D0490" w:rsidRPr="00022913">
        <w:rPr>
          <w:rFonts w:cs="Arial"/>
          <w:szCs w:val="24"/>
        </w:rPr>
        <w:t xml:space="preserve"> difference in gasoline and diesel taxes.</w:t>
      </w:r>
      <w:r w:rsidR="005841F7" w:rsidRPr="00022913">
        <w:rPr>
          <w:rFonts w:cs="Arial"/>
          <w:szCs w:val="24"/>
        </w:rPr>
        <w:t xml:space="preserve"> </w:t>
      </w:r>
    </w:p>
    <w:p w:rsidR="00B42A84" w:rsidRPr="00022913" w:rsidRDefault="00B42A84" w:rsidP="00B42A84">
      <w:pPr>
        <w:rPr>
          <w:rFonts w:cs="Arial"/>
          <w:szCs w:val="24"/>
        </w:rPr>
      </w:pPr>
      <w:r w:rsidRPr="00022913">
        <w:rPr>
          <w:rFonts w:cs="Arial"/>
          <w:szCs w:val="24"/>
        </w:rPr>
        <w:t>In addition to fuel taxes, many countries use vehicle-based taxes to encourage the purchase of diesels</w:t>
      </w:r>
      <w:r w:rsidR="00BF7E8D" w:rsidRPr="00022913">
        <w:rPr>
          <w:rFonts w:cs="Arial"/>
          <w:szCs w:val="24"/>
        </w:rPr>
        <w:t xml:space="preserve"> and other, high-efficiency vehicles</w:t>
      </w:r>
      <w:r w:rsidRPr="00022913">
        <w:rPr>
          <w:rFonts w:cs="Arial"/>
          <w:szCs w:val="24"/>
        </w:rPr>
        <w:t xml:space="preserve">. Austria, for example, has used an efficiency-based vehicle sales tax that creates a lower tax burden for the purchase of vehicles with higher fuel efficiency, such as diesels. France has instituted an annual vehicle tax that </w:t>
      </w:r>
      <w:r w:rsidR="00252D0A" w:rsidRPr="00022913">
        <w:rPr>
          <w:rFonts w:cs="Arial"/>
          <w:szCs w:val="24"/>
        </w:rPr>
        <w:t xml:space="preserve">also </w:t>
      </w:r>
      <w:r w:rsidRPr="00022913">
        <w:rPr>
          <w:rFonts w:cs="Arial"/>
          <w:szCs w:val="24"/>
        </w:rPr>
        <w:t>favors diesels over gasoline-powered vehicles.</w:t>
      </w:r>
      <w:r w:rsidRPr="00022913">
        <w:rPr>
          <w:rStyle w:val="FootnoteReference"/>
          <w:rFonts w:cs="Arial"/>
          <w:szCs w:val="24"/>
        </w:rPr>
        <w:footnoteReference w:id="66"/>
      </w:r>
    </w:p>
    <w:p w:rsidR="00B42A84" w:rsidRDefault="00B42A84" w:rsidP="00B42A84">
      <w:pPr>
        <w:rPr>
          <w:rFonts w:cs="Arial"/>
          <w:szCs w:val="24"/>
        </w:rPr>
      </w:pPr>
      <w:r w:rsidRPr="00022913">
        <w:rPr>
          <w:rFonts w:cs="Arial"/>
          <w:szCs w:val="24"/>
        </w:rPr>
        <w:t>Diesel vehicles in Europe also have a comparative cost advantage in Europe compared to the United States due to less stringent European NOx regulations. U.S. regulations require diesel engines to use high-pressure fuel injection and after-treatment systems to reduce NOx emissions</w:t>
      </w:r>
      <w:r w:rsidR="00231E2A" w:rsidRPr="00022913">
        <w:rPr>
          <w:rFonts w:cs="Arial"/>
          <w:szCs w:val="24"/>
        </w:rPr>
        <w:t xml:space="preserve">, </w:t>
      </w:r>
      <w:r w:rsidRPr="00022913">
        <w:rPr>
          <w:rFonts w:cs="Arial"/>
          <w:szCs w:val="24"/>
        </w:rPr>
        <w:t>add</w:t>
      </w:r>
      <w:r w:rsidR="00231E2A" w:rsidRPr="00022913">
        <w:rPr>
          <w:rFonts w:cs="Arial"/>
          <w:szCs w:val="24"/>
        </w:rPr>
        <w:t>ing</w:t>
      </w:r>
      <w:r w:rsidRPr="00022913">
        <w:rPr>
          <w:rFonts w:cs="Arial"/>
          <w:szCs w:val="24"/>
        </w:rPr>
        <w:t xml:space="preserve"> more to the expense of diesel vehicles in the United States.</w:t>
      </w:r>
    </w:p>
    <w:p w:rsidR="00022913" w:rsidRDefault="00022913">
      <w:pPr>
        <w:rPr>
          <w:rFonts w:cs="Arial"/>
          <w:b/>
          <w:bCs/>
          <w:sz w:val="24"/>
          <w:szCs w:val="24"/>
        </w:rPr>
      </w:pPr>
      <w:r>
        <w:rPr>
          <w:rFonts w:cs="Arial"/>
          <w:sz w:val="24"/>
          <w:szCs w:val="24"/>
        </w:rPr>
        <w:br w:type="page"/>
      </w:r>
    </w:p>
    <w:p w:rsidR="00022913" w:rsidRPr="009F6661" w:rsidRDefault="00022913" w:rsidP="00984B07">
      <w:pPr>
        <w:pStyle w:val="Caption"/>
        <w:keepNext/>
        <w:spacing w:after="60" w:line="276" w:lineRule="auto"/>
        <w:rPr>
          <w:rFonts w:cs="Arial"/>
          <w:color w:val="auto"/>
          <w:sz w:val="20"/>
          <w:szCs w:val="24"/>
        </w:rPr>
      </w:pPr>
      <w:bookmarkStart w:id="31" w:name="_Toc352249437"/>
      <w:r w:rsidRPr="009F6661">
        <w:rPr>
          <w:rFonts w:cs="Arial"/>
          <w:color w:val="auto"/>
          <w:sz w:val="20"/>
          <w:szCs w:val="24"/>
        </w:rPr>
        <w:lastRenderedPageBreak/>
        <w:t xml:space="preserve">Figure </w:t>
      </w:r>
      <w:r w:rsidRPr="009F6661">
        <w:rPr>
          <w:rFonts w:cs="Arial"/>
          <w:color w:val="auto"/>
          <w:sz w:val="20"/>
          <w:szCs w:val="24"/>
        </w:rPr>
        <w:fldChar w:fldCharType="begin"/>
      </w:r>
      <w:r w:rsidRPr="009F6661">
        <w:rPr>
          <w:rFonts w:cs="Arial"/>
          <w:color w:val="auto"/>
          <w:sz w:val="20"/>
          <w:szCs w:val="24"/>
        </w:rPr>
        <w:instrText xml:space="preserve"> SEQ Figure \* ARABIC </w:instrText>
      </w:r>
      <w:r w:rsidRPr="009F6661">
        <w:rPr>
          <w:rFonts w:cs="Arial"/>
          <w:color w:val="auto"/>
          <w:sz w:val="20"/>
          <w:szCs w:val="24"/>
        </w:rPr>
        <w:fldChar w:fldCharType="separate"/>
      </w:r>
      <w:r w:rsidR="00E01A3B">
        <w:rPr>
          <w:rFonts w:cs="Arial"/>
          <w:noProof/>
          <w:color w:val="auto"/>
          <w:sz w:val="20"/>
          <w:szCs w:val="24"/>
        </w:rPr>
        <w:t>2</w:t>
      </w:r>
      <w:r w:rsidRPr="009F6661">
        <w:rPr>
          <w:rFonts w:cs="Arial"/>
          <w:color w:val="auto"/>
          <w:sz w:val="20"/>
          <w:szCs w:val="24"/>
        </w:rPr>
        <w:fldChar w:fldCharType="end"/>
      </w:r>
      <w:r w:rsidRPr="009F6661">
        <w:rPr>
          <w:rFonts w:cs="Arial"/>
          <w:color w:val="auto"/>
          <w:sz w:val="20"/>
          <w:szCs w:val="24"/>
        </w:rPr>
        <w:t>: Average End User Diesel and Gas Taxes for Selected EU Countries</w:t>
      </w:r>
      <w:bookmarkEnd w:id="31"/>
    </w:p>
    <w:p w:rsidR="00071935" w:rsidRDefault="00071935" w:rsidP="00071935">
      <w:pPr>
        <w:spacing w:after="0"/>
        <w:rPr>
          <w:rFonts w:ascii="Arial" w:hAnsi="Arial" w:cs="Arial"/>
          <w:sz w:val="24"/>
          <w:szCs w:val="24"/>
        </w:rPr>
      </w:pPr>
      <w:r>
        <w:rPr>
          <w:rFonts w:ascii="Arial" w:hAnsi="Arial" w:cs="Arial"/>
          <w:noProof/>
          <w:sz w:val="24"/>
          <w:szCs w:val="24"/>
        </w:rPr>
        <w:drawing>
          <wp:inline distT="0" distB="0" distL="0" distR="0" wp14:anchorId="5F4B8800" wp14:editId="6FAD5B16">
            <wp:extent cx="5939790" cy="3189605"/>
            <wp:effectExtent l="19050" t="19050" r="22860" b="10795"/>
            <wp:docPr id="9" name="Picture 9" descr="\\LOTUS\CAR Files\RES-SEDS-HILL\Alternative Fuel Vehicle Infrastructure\Figures for Consideration\Gas and Diesel Taxes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TUS\CAR Files\RES-SEDS-HILL\Alternative Fuel Vehicle Infrastructure\Figures for Consideration\Gas and Diesel Taxes V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9790" cy="3189605"/>
                    </a:xfrm>
                    <a:prstGeom prst="rect">
                      <a:avLst/>
                    </a:prstGeom>
                    <a:noFill/>
                    <a:ln>
                      <a:solidFill>
                        <a:schemeClr val="tx1"/>
                      </a:solidFill>
                    </a:ln>
                  </pic:spPr>
                </pic:pic>
              </a:graphicData>
            </a:graphic>
          </wp:inline>
        </w:drawing>
      </w:r>
    </w:p>
    <w:p w:rsidR="00071935" w:rsidRPr="008720F3" w:rsidRDefault="00071935" w:rsidP="00022913">
      <w:pPr>
        <w:rPr>
          <w:rFonts w:cs="Arial"/>
          <w:i/>
          <w:sz w:val="20"/>
          <w:szCs w:val="20"/>
        </w:rPr>
      </w:pPr>
      <w:r w:rsidRPr="00022913">
        <w:rPr>
          <w:rFonts w:cs="Arial"/>
          <w:sz w:val="18"/>
          <w:szCs w:val="20"/>
        </w:rPr>
        <w:t>Note: The dollar values represented in this chart represent only the taxes applied to fuels; they are in addition to the base cost of the fuel. Tax data reflect December 2012, and vehicle sales data reflect full-year, 2011.</w:t>
      </w:r>
      <w:r w:rsidR="00022913" w:rsidRPr="00022913">
        <w:rPr>
          <w:rFonts w:cs="Arial"/>
          <w:sz w:val="18"/>
          <w:szCs w:val="20"/>
        </w:rPr>
        <w:br/>
      </w:r>
      <w:r w:rsidRPr="008720F3">
        <w:rPr>
          <w:rFonts w:cs="Arial"/>
          <w:i/>
          <w:sz w:val="20"/>
          <w:szCs w:val="20"/>
        </w:rPr>
        <w:t>Sources: IEA 2013 and ICCT 2012</w:t>
      </w:r>
    </w:p>
    <w:p w:rsidR="00B42A84" w:rsidRDefault="00B42A84" w:rsidP="00B42A84">
      <w:pPr>
        <w:rPr>
          <w:rFonts w:cs="Arial"/>
          <w:sz w:val="24"/>
          <w:szCs w:val="24"/>
        </w:rPr>
      </w:pPr>
      <w:r w:rsidRPr="008720F3">
        <w:rPr>
          <w:rFonts w:cs="Arial"/>
          <w:sz w:val="24"/>
          <w:szCs w:val="24"/>
        </w:rPr>
        <w:t>Current Tier 2 vehicle emission standards in the United States limit NOx emissions to 0.07 grams per mile. The Euro 5 NOx standard allows for 0.29 grams per mile.</w:t>
      </w:r>
      <w:r w:rsidRPr="008720F3">
        <w:rPr>
          <w:rStyle w:val="FootnoteReference"/>
          <w:rFonts w:cs="Arial"/>
          <w:sz w:val="24"/>
          <w:szCs w:val="24"/>
        </w:rPr>
        <w:footnoteReference w:id="67"/>
      </w:r>
      <w:r w:rsidRPr="008720F3">
        <w:rPr>
          <w:rFonts w:cs="Arial"/>
          <w:sz w:val="24"/>
          <w:szCs w:val="24"/>
        </w:rPr>
        <w:t xml:space="preserve"> Euro 6 vehicle emission standards, which will take effect in 2014, will be even more stringent with respect to NOx</w:t>
      </w:r>
      <w:r w:rsidR="00231E2A" w:rsidRPr="008720F3">
        <w:rPr>
          <w:rFonts w:cs="Arial"/>
          <w:sz w:val="24"/>
          <w:szCs w:val="24"/>
        </w:rPr>
        <w:t xml:space="preserve"> and </w:t>
      </w:r>
      <w:r w:rsidRPr="008720F3">
        <w:rPr>
          <w:rFonts w:cs="Arial"/>
          <w:sz w:val="24"/>
          <w:szCs w:val="24"/>
        </w:rPr>
        <w:t xml:space="preserve">will likely increase the cost of new diesel vehicles in Europe. Due to economies of scale in automobile production, more stringent European NOx requirements could lead to </w:t>
      </w:r>
      <w:r w:rsidR="00A61B89" w:rsidRPr="008720F3">
        <w:rPr>
          <w:rFonts w:cs="Arial"/>
          <w:sz w:val="24"/>
          <w:szCs w:val="24"/>
        </w:rPr>
        <w:t xml:space="preserve">a </w:t>
      </w:r>
      <w:r w:rsidRPr="008720F3">
        <w:rPr>
          <w:rFonts w:cs="Arial"/>
          <w:sz w:val="24"/>
          <w:szCs w:val="24"/>
        </w:rPr>
        <w:t>reduced cost for diesel vehicles in the United States.</w:t>
      </w:r>
    </w:p>
    <w:p w:rsidR="00D61512" w:rsidRPr="008720F3" w:rsidRDefault="00D61512" w:rsidP="00B42A84">
      <w:pPr>
        <w:rPr>
          <w:rFonts w:cs="Arial"/>
          <w:sz w:val="24"/>
          <w:szCs w:val="24"/>
        </w:rPr>
      </w:pPr>
      <w:r w:rsidRPr="00D61512">
        <w:rPr>
          <w:rFonts w:cs="Arial"/>
          <w:sz w:val="24"/>
          <w:szCs w:val="24"/>
        </w:rPr>
        <w:t>The U.S. emissions standards</w:t>
      </w:r>
      <w:r>
        <w:rPr>
          <w:rFonts w:cs="Arial"/>
          <w:sz w:val="24"/>
          <w:szCs w:val="24"/>
        </w:rPr>
        <w:t xml:space="preserve"> have made the introduction of light-duty</w:t>
      </w:r>
      <w:r w:rsidRPr="00D61512">
        <w:rPr>
          <w:rFonts w:cs="Arial"/>
          <w:sz w:val="24"/>
          <w:szCs w:val="24"/>
        </w:rPr>
        <w:t xml:space="preserve"> diesels </w:t>
      </w:r>
      <w:r w:rsidR="00161AEF">
        <w:rPr>
          <w:rFonts w:cs="Arial"/>
          <w:sz w:val="24"/>
          <w:szCs w:val="24"/>
        </w:rPr>
        <w:t xml:space="preserve">somewhat </w:t>
      </w:r>
      <w:r w:rsidRPr="00D61512">
        <w:rPr>
          <w:rFonts w:cs="Arial"/>
          <w:sz w:val="24"/>
          <w:szCs w:val="24"/>
        </w:rPr>
        <w:t>cost-prohibitive, while the E</w:t>
      </w:r>
      <w:r>
        <w:rPr>
          <w:rFonts w:cs="Arial"/>
          <w:sz w:val="24"/>
          <w:szCs w:val="24"/>
        </w:rPr>
        <w:t xml:space="preserve">uropean </w:t>
      </w:r>
      <w:r w:rsidRPr="00D61512">
        <w:rPr>
          <w:rFonts w:cs="Arial"/>
          <w:sz w:val="24"/>
          <w:szCs w:val="24"/>
        </w:rPr>
        <w:t>U</w:t>
      </w:r>
      <w:r>
        <w:rPr>
          <w:rFonts w:cs="Arial"/>
          <w:sz w:val="24"/>
          <w:szCs w:val="24"/>
        </w:rPr>
        <w:t>nion</w:t>
      </w:r>
      <w:r w:rsidRPr="00D61512">
        <w:rPr>
          <w:rFonts w:cs="Arial"/>
          <w:sz w:val="24"/>
          <w:szCs w:val="24"/>
        </w:rPr>
        <w:t xml:space="preserve"> has been more lenient on diesel emissions standards to be consistent with policies promoting diesel</w:t>
      </w:r>
      <w:r w:rsidR="00161AEF">
        <w:rPr>
          <w:rFonts w:cs="Arial"/>
          <w:sz w:val="24"/>
          <w:szCs w:val="24"/>
        </w:rPr>
        <w:t xml:space="preserve"> vehicles</w:t>
      </w:r>
      <w:r w:rsidRPr="00D61512">
        <w:rPr>
          <w:rFonts w:cs="Arial"/>
          <w:sz w:val="24"/>
          <w:szCs w:val="24"/>
        </w:rPr>
        <w:t>.  I</w:t>
      </w:r>
      <w:r w:rsidR="00161AEF">
        <w:rPr>
          <w:rFonts w:cs="Arial"/>
          <w:sz w:val="24"/>
          <w:szCs w:val="24"/>
        </w:rPr>
        <w:t>f</w:t>
      </w:r>
      <w:r>
        <w:rPr>
          <w:rFonts w:cs="Arial"/>
          <w:sz w:val="24"/>
          <w:szCs w:val="24"/>
        </w:rPr>
        <w:t xml:space="preserve"> future European</w:t>
      </w:r>
      <w:r w:rsidRPr="00D61512">
        <w:rPr>
          <w:rFonts w:cs="Arial"/>
          <w:sz w:val="24"/>
          <w:szCs w:val="24"/>
        </w:rPr>
        <w:t xml:space="preserve"> standards approach the U.S. standards, and manufacturers are able to develop cost-effective ways to meet those standards for diesels, it may pave the way for </w:t>
      </w:r>
      <w:r w:rsidR="00952E46">
        <w:rPr>
          <w:rFonts w:cs="Arial"/>
          <w:sz w:val="24"/>
          <w:szCs w:val="24"/>
        </w:rPr>
        <w:t xml:space="preserve">sales of </w:t>
      </w:r>
      <w:r w:rsidRPr="00D61512">
        <w:rPr>
          <w:rFonts w:cs="Arial"/>
          <w:sz w:val="24"/>
          <w:szCs w:val="24"/>
        </w:rPr>
        <w:t xml:space="preserve">more </w:t>
      </w:r>
      <w:r w:rsidR="00952E46">
        <w:rPr>
          <w:rFonts w:cs="Arial"/>
          <w:sz w:val="24"/>
          <w:szCs w:val="24"/>
        </w:rPr>
        <w:t>light-duty diesel vehicles</w:t>
      </w:r>
      <w:r w:rsidRPr="00D61512">
        <w:rPr>
          <w:rFonts w:cs="Arial"/>
          <w:sz w:val="24"/>
          <w:szCs w:val="24"/>
        </w:rPr>
        <w:t xml:space="preserve"> to the U.S.    </w:t>
      </w:r>
    </w:p>
    <w:p w:rsidR="00EA3E84" w:rsidRPr="008720F3" w:rsidRDefault="00EA3E84" w:rsidP="00022913">
      <w:pPr>
        <w:pStyle w:val="Heading2"/>
      </w:pPr>
      <w:bookmarkStart w:id="32" w:name="_Toc352854188"/>
      <w:r w:rsidRPr="008720F3">
        <w:t>Renewable Energy</w:t>
      </w:r>
      <w:r w:rsidR="002B01A2" w:rsidRPr="008720F3">
        <w:t xml:space="preserve"> Development in Germany</w:t>
      </w:r>
      <w:bookmarkEnd w:id="32"/>
    </w:p>
    <w:p w:rsidR="00E020E1" w:rsidRPr="00022913" w:rsidRDefault="00FD36D9" w:rsidP="0078480F">
      <w:pPr>
        <w:rPr>
          <w:rFonts w:cs="Arial"/>
          <w:szCs w:val="24"/>
        </w:rPr>
      </w:pPr>
      <w:r w:rsidRPr="00022913">
        <w:rPr>
          <w:rFonts w:cs="Arial"/>
          <w:szCs w:val="24"/>
        </w:rPr>
        <w:t>The promotion of renewable electricity generation in Germany is often alluded to in the media as a “shining example” of successful policy to encourage growth in the renewables sector.</w:t>
      </w:r>
      <w:r w:rsidRPr="00022913">
        <w:rPr>
          <w:rStyle w:val="FootnoteReference"/>
          <w:rFonts w:cs="Arial"/>
          <w:szCs w:val="24"/>
        </w:rPr>
        <w:footnoteReference w:id="68"/>
      </w:r>
      <w:r w:rsidRPr="00022913">
        <w:rPr>
          <w:rFonts w:cs="Arial"/>
          <w:szCs w:val="24"/>
        </w:rPr>
        <w:t xml:space="preserve"> </w:t>
      </w:r>
      <w:r w:rsidR="000C1C5A" w:rsidRPr="00022913">
        <w:rPr>
          <w:rFonts w:cs="Arial"/>
          <w:szCs w:val="24"/>
        </w:rPr>
        <w:t xml:space="preserve">In the mid-1970s, Germany began supporting the alternative energy sector through R&amp;D funding; however, much of this effort was focused on moving away from oil and using more coal and nuclear energy. Following </w:t>
      </w:r>
      <w:r w:rsidR="000C1C5A" w:rsidRPr="00022913">
        <w:rPr>
          <w:rFonts w:cs="Arial"/>
          <w:szCs w:val="24"/>
        </w:rPr>
        <w:lastRenderedPageBreak/>
        <w:t>the Chernobyl disaster in the late 1980s, public opposition to nuclear energy grew as did concerns about GHG emissions and climate change. In response, Germany enacted wind and solar subsidies and the idea of a feed-in tariff</w:t>
      </w:r>
      <w:r w:rsidR="00E020E1" w:rsidRPr="00022913">
        <w:rPr>
          <w:rFonts w:cs="Arial"/>
          <w:szCs w:val="24"/>
        </w:rPr>
        <w:t xml:space="preserve"> </w:t>
      </w:r>
      <w:r w:rsidR="000C1C5A" w:rsidRPr="00022913">
        <w:rPr>
          <w:rFonts w:cs="Arial"/>
          <w:szCs w:val="24"/>
        </w:rPr>
        <w:t>began to emerge.</w:t>
      </w:r>
      <w:r w:rsidR="000C1C5A" w:rsidRPr="00022913">
        <w:rPr>
          <w:rStyle w:val="FootnoteReference"/>
          <w:rFonts w:cs="Arial"/>
          <w:szCs w:val="24"/>
        </w:rPr>
        <w:footnoteReference w:id="69"/>
      </w:r>
      <w:r w:rsidR="000C1C5A" w:rsidRPr="00022913">
        <w:rPr>
          <w:rFonts w:cs="Arial"/>
          <w:szCs w:val="24"/>
        </w:rPr>
        <w:t xml:space="preserve"> </w:t>
      </w:r>
    </w:p>
    <w:p w:rsidR="000C1C5A" w:rsidRPr="00022913" w:rsidRDefault="00E020E1" w:rsidP="0078480F">
      <w:pPr>
        <w:rPr>
          <w:rFonts w:cs="Arial"/>
          <w:szCs w:val="24"/>
        </w:rPr>
      </w:pPr>
      <w:r w:rsidRPr="00022913">
        <w:rPr>
          <w:rFonts w:cs="Arial"/>
          <w:szCs w:val="24"/>
        </w:rPr>
        <w:t>A feed-in tariff is a policy which creates a guaranteed market for small producers of renewable energy. This is achieved by requiring utilities to purchase electricity from these producers at predetermined rates. Individuals can then purchase and install renewable energy production equipment, such as photovoltaic solar arrays or wind turbines, and begin receiving payments from utilities for the electricity they produce.</w:t>
      </w:r>
    </w:p>
    <w:p w:rsidR="00427A9C" w:rsidRPr="008720F3" w:rsidRDefault="00427A9C" w:rsidP="00022913">
      <w:pPr>
        <w:pStyle w:val="Heading3"/>
      </w:pPr>
      <w:bookmarkStart w:id="33" w:name="_Toc352854189"/>
      <w:r w:rsidRPr="008720F3">
        <w:t>Feed-in Tariff</w:t>
      </w:r>
      <w:bookmarkEnd w:id="33"/>
      <w:r w:rsidRPr="008720F3">
        <w:t xml:space="preserve"> </w:t>
      </w:r>
    </w:p>
    <w:p w:rsidR="00FA59F3" w:rsidRPr="00022913" w:rsidRDefault="000C1C5A" w:rsidP="0078480F">
      <w:pPr>
        <w:rPr>
          <w:rFonts w:cs="Arial"/>
          <w:szCs w:val="24"/>
        </w:rPr>
      </w:pPr>
      <w:r w:rsidRPr="00022913">
        <w:rPr>
          <w:rFonts w:cs="Arial"/>
          <w:szCs w:val="24"/>
        </w:rPr>
        <w:t>Germany</w:t>
      </w:r>
      <w:r w:rsidR="00FD36D9" w:rsidRPr="00022913">
        <w:rPr>
          <w:rFonts w:cs="Arial"/>
          <w:szCs w:val="24"/>
        </w:rPr>
        <w:t xml:space="preserve"> </w:t>
      </w:r>
      <w:r w:rsidRPr="00022913">
        <w:rPr>
          <w:rFonts w:cs="Arial"/>
          <w:szCs w:val="24"/>
        </w:rPr>
        <w:t xml:space="preserve">instituted a feed-in tariff </w:t>
      </w:r>
      <w:r w:rsidR="00FD36D9" w:rsidRPr="00022913">
        <w:rPr>
          <w:rFonts w:cs="Arial"/>
          <w:szCs w:val="24"/>
        </w:rPr>
        <w:t xml:space="preserve">to promote renewable energy production </w:t>
      </w:r>
      <w:r w:rsidR="00D2092A" w:rsidRPr="00022913">
        <w:rPr>
          <w:rFonts w:cs="Arial"/>
          <w:szCs w:val="24"/>
        </w:rPr>
        <w:t>in 1990. The</w:t>
      </w:r>
      <w:r w:rsidR="00FD36D9" w:rsidRPr="00022913">
        <w:rPr>
          <w:rFonts w:cs="Arial"/>
          <w:szCs w:val="24"/>
        </w:rPr>
        <w:t xml:space="preserve"> </w:t>
      </w:r>
      <w:r w:rsidR="00D2092A" w:rsidRPr="00022913">
        <w:rPr>
          <w:rFonts w:cs="Arial"/>
          <w:szCs w:val="24"/>
        </w:rPr>
        <w:t>feed-in tariff</w:t>
      </w:r>
      <w:r w:rsidR="00FD36D9" w:rsidRPr="00022913">
        <w:rPr>
          <w:rFonts w:cs="Arial"/>
          <w:szCs w:val="24"/>
        </w:rPr>
        <w:t xml:space="preserve"> required utilities to allow small providers of renewable electricity to sell electricity to the grid at</w:t>
      </w:r>
      <w:r w:rsidR="00D2092A" w:rsidRPr="00022913">
        <w:rPr>
          <w:rFonts w:cs="Arial"/>
          <w:szCs w:val="24"/>
        </w:rPr>
        <w:t xml:space="preserve"> 65 to 90 percent of the retail rate,</w:t>
      </w:r>
      <w:r w:rsidR="00D2092A" w:rsidRPr="00022913">
        <w:rPr>
          <w:rStyle w:val="FootnoteReference"/>
          <w:rFonts w:cs="Arial"/>
          <w:szCs w:val="24"/>
        </w:rPr>
        <w:footnoteReference w:id="70"/>
      </w:r>
      <w:r w:rsidR="00D2092A" w:rsidRPr="00022913">
        <w:rPr>
          <w:rFonts w:cs="Arial"/>
          <w:szCs w:val="24"/>
        </w:rPr>
        <w:t xml:space="preserve"> </w:t>
      </w:r>
      <w:r w:rsidR="00231E2A" w:rsidRPr="00022913">
        <w:rPr>
          <w:rFonts w:cs="Arial"/>
          <w:szCs w:val="24"/>
        </w:rPr>
        <w:t>an amount</w:t>
      </w:r>
      <w:r w:rsidR="00FD36D9" w:rsidRPr="00022913">
        <w:rPr>
          <w:rFonts w:cs="Arial"/>
          <w:szCs w:val="24"/>
        </w:rPr>
        <w:t xml:space="preserve"> considerably higher than the average</w:t>
      </w:r>
      <w:r w:rsidR="00D2092A" w:rsidRPr="00022913">
        <w:rPr>
          <w:rFonts w:cs="Arial"/>
          <w:szCs w:val="24"/>
        </w:rPr>
        <w:t xml:space="preserve"> cost of electricity generation</w:t>
      </w:r>
      <w:r w:rsidR="00FD36D9" w:rsidRPr="00022913">
        <w:rPr>
          <w:rFonts w:cs="Arial"/>
          <w:szCs w:val="24"/>
        </w:rPr>
        <w:t>.</w:t>
      </w:r>
      <w:r w:rsidR="00FD36D9" w:rsidRPr="00022913">
        <w:rPr>
          <w:rStyle w:val="FootnoteReference"/>
          <w:rFonts w:cs="Arial"/>
          <w:szCs w:val="24"/>
        </w:rPr>
        <w:footnoteReference w:id="71"/>
      </w:r>
      <w:r w:rsidR="00986F41" w:rsidRPr="00022913">
        <w:rPr>
          <w:rFonts w:cs="Arial"/>
          <w:szCs w:val="24"/>
        </w:rPr>
        <w:t xml:space="preserve"> </w:t>
      </w:r>
      <w:r w:rsidR="00D2092A" w:rsidRPr="00022913">
        <w:rPr>
          <w:rFonts w:cs="Arial"/>
          <w:szCs w:val="24"/>
        </w:rPr>
        <w:t>The idea for a feed-in tariff</w:t>
      </w:r>
      <w:r w:rsidR="00986F41" w:rsidRPr="00022913">
        <w:rPr>
          <w:rFonts w:cs="Arial"/>
          <w:szCs w:val="24"/>
        </w:rPr>
        <w:t xml:space="preserve"> began in the</w:t>
      </w:r>
      <w:r w:rsidR="00D2092A" w:rsidRPr="00022913">
        <w:rPr>
          <w:rFonts w:cs="Arial"/>
          <w:szCs w:val="24"/>
        </w:rPr>
        <w:t xml:space="preserve"> United States</w:t>
      </w:r>
      <w:r w:rsidR="00986F41" w:rsidRPr="00022913">
        <w:rPr>
          <w:rFonts w:cs="Arial"/>
          <w:szCs w:val="24"/>
        </w:rPr>
        <w:t xml:space="preserve"> </w:t>
      </w:r>
      <w:r w:rsidR="00D2092A" w:rsidRPr="00022913">
        <w:rPr>
          <w:rFonts w:cs="Arial"/>
          <w:szCs w:val="24"/>
        </w:rPr>
        <w:t xml:space="preserve">with the </w:t>
      </w:r>
      <w:r w:rsidR="00986F41" w:rsidRPr="00022913">
        <w:rPr>
          <w:rFonts w:cs="Arial"/>
          <w:szCs w:val="24"/>
        </w:rPr>
        <w:t>Public Utility Regulatory Policies Act of 1978, which guaranteed prices based on projected l</w:t>
      </w:r>
      <w:r w:rsidR="00D2092A" w:rsidRPr="00022913">
        <w:rPr>
          <w:rFonts w:cs="Arial"/>
          <w:szCs w:val="24"/>
        </w:rPr>
        <w:t>ong-term costs of fossil energy.</w:t>
      </w:r>
      <w:r w:rsidR="00986F41" w:rsidRPr="00022913">
        <w:rPr>
          <w:rFonts w:cs="Arial"/>
          <w:szCs w:val="24"/>
        </w:rPr>
        <w:t xml:space="preserve"> </w:t>
      </w:r>
      <w:r w:rsidR="00D2092A" w:rsidRPr="00022913">
        <w:rPr>
          <w:rFonts w:cs="Arial"/>
          <w:szCs w:val="24"/>
        </w:rPr>
        <w:t>T</w:t>
      </w:r>
      <w:r w:rsidR="00986F41" w:rsidRPr="00022913">
        <w:rPr>
          <w:rFonts w:cs="Arial"/>
          <w:szCs w:val="24"/>
        </w:rPr>
        <w:t xml:space="preserve">he </w:t>
      </w:r>
      <w:r w:rsidR="00D2092A" w:rsidRPr="00022913">
        <w:rPr>
          <w:rFonts w:cs="Arial"/>
          <w:szCs w:val="24"/>
        </w:rPr>
        <w:t xml:space="preserve">feed-in tariff policy </w:t>
      </w:r>
      <w:r w:rsidR="00231E2A" w:rsidRPr="00022913">
        <w:rPr>
          <w:rFonts w:cs="Arial"/>
          <w:szCs w:val="24"/>
        </w:rPr>
        <w:t>i</w:t>
      </w:r>
      <w:r w:rsidR="00D2092A" w:rsidRPr="00022913">
        <w:rPr>
          <w:rFonts w:cs="Arial"/>
          <w:szCs w:val="24"/>
        </w:rPr>
        <w:t>n the United States was</w:t>
      </w:r>
      <w:r w:rsidR="00986F41" w:rsidRPr="00022913">
        <w:rPr>
          <w:rFonts w:cs="Arial"/>
          <w:szCs w:val="24"/>
        </w:rPr>
        <w:t xml:space="preserve"> dismantled as energy markets </w:t>
      </w:r>
      <w:r w:rsidR="00D2092A" w:rsidRPr="00022913">
        <w:rPr>
          <w:rFonts w:cs="Arial"/>
          <w:szCs w:val="24"/>
        </w:rPr>
        <w:t>became deregulated</w:t>
      </w:r>
      <w:r w:rsidR="00986F41" w:rsidRPr="00022913">
        <w:rPr>
          <w:rFonts w:cs="Arial"/>
          <w:szCs w:val="24"/>
        </w:rPr>
        <w:t xml:space="preserve"> and energy costs were lower than anticipated.</w:t>
      </w:r>
      <w:r w:rsidR="00986F41" w:rsidRPr="00022913">
        <w:rPr>
          <w:rStyle w:val="FootnoteReference"/>
          <w:rFonts w:cs="Arial"/>
          <w:szCs w:val="24"/>
        </w:rPr>
        <w:footnoteReference w:id="72"/>
      </w:r>
    </w:p>
    <w:p w:rsidR="005D7041" w:rsidRPr="00022913" w:rsidRDefault="00986F41" w:rsidP="0078480F">
      <w:pPr>
        <w:rPr>
          <w:rFonts w:cs="Arial"/>
          <w:szCs w:val="24"/>
        </w:rPr>
      </w:pPr>
      <w:r w:rsidRPr="00022913">
        <w:rPr>
          <w:rFonts w:cs="Arial"/>
          <w:szCs w:val="24"/>
        </w:rPr>
        <w:t>In a similar turn of events, Germany’s feed-in tariff decreased along with the price of electricity, f</w:t>
      </w:r>
      <w:r w:rsidR="00FD36D9" w:rsidRPr="00022913">
        <w:rPr>
          <w:rFonts w:cs="Arial"/>
          <w:szCs w:val="24"/>
        </w:rPr>
        <w:t>ollo</w:t>
      </w:r>
      <w:r w:rsidR="005D7041" w:rsidRPr="00022913">
        <w:rPr>
          <w:rFonts w:cs="Arial"/>
          <w:szCs w:val="24"/>
        </w:rPr>
        <w:t>wing the liberalization of Euro</w:t>
      </w:r>
      <w:r w:rsidRPr="00022913">
        <w:rPr>
          <w:rFonts w:cs="Arial"/>
          <w:szCs w:val="24"/>
        </w:rPr>
        <w:t>pean energy markets in 1998</w:t>
      </w:r>
      <w:r w:rsidR="005D7041" w:rsidRPr="00022913">
        <w:rPr>
          <w:rFonts w:cs="Arial"/>
          <w:szCs w:val="24"/>
        </w:rPr>
        <w:t>.</w:t>
      </w:r>
      <w:r w:rsidR="0043554D" w:rsidRPr="00022913">
        <w:rPr>
          <w:rFonts w:cs="Arial"/>
          <w:szCs w:val="24"/>
        </w:rPr>
        <w:t xml:space="preserve"> </w:t>
      </w:r>
      <w:r w:rsidR="005D7041" w:rsidRPr="00022913">
        <w:rPr>
          <w:rFonts w:cs="Arial"/>
          <w:szCs w:val="24"/>
        </w:rPr>
        <w:t xml:space="preserve">In </w:t>
      </w:r>
      <w:r w:rsidR="00D2092A" w:rsidRPr="00022913">
        <w:rPr>
          <w:rFonts w:cs="Arial"/>
          <w:szCs w:val="24"/>
        </w:rPr>
        <w:t>order to fix the problem with its feed-in tariff and make renewable energy investment attractive</w:t>
      </w:r>
      <w:r w:rsidR="005D7041" w:rsidRPr="00022913">
        <w:rPr>
          <w:rFonts w:cs="Arial"/>
          <w:szCs w:val="24"/>
        </w:rPr>
        <w:t>, Germany enacted the Renewable Energy Sources Act (EEG)</w:t>
      </w:r>
      <w:r w:rsidR="00D2092A" w:rsidRPr="00022913">
        <w:rPr>
          <w:rFonts w:cs="Arial"/>
          <w:szCs w:val="24"/>
        </w:rPr>
        <w:t xml:space="preserve"> in 2000</w:t>
      </w:r>
      <w:r w:rsidR="00E2772E" w:rsidRPr="00022913">
        <w:rPr>
          <w:rFonts w:cs="Arial"/>
          <w:szCs w:val="24"/>
        </w:rPr>
        <w:t>. The EEG</w:t>
      </w:r>
      <w:r w:rsidR="005D7041" w:rsidRPr="00022913">
        <w:rPr>
          <w:rFonts w:cs="Arial"/>
          <w:szCs w:val="24"/>
        </w:rPr>
        <w:t xml:space="preserve"> </w:t>
      </w:r>
      <w:r w:rsidR="00D2092A" w:rsidRPr="00022913">
        <w:rPr>
          <w:rFonts w:cs="Arial"/>
          <w:szCs w:val="24"/>
        </w:rPr>
        <w:t>involved long-term contracts and provided fixed</w:t>
      </w:r>
      <w:r w:rsidR="005D7041" w:rsidRPr="00022913">
        <w:rPr>
          <w:rFonts w:cs="Arial"/>
          <w:szCs w:val="24"/>
        </w:rPr>
        <w:t xml:space="preserve"> feed-in tariff</w:t>
      </w:r>
      <w:r w:rsidR="00D2092A" w:rsidRPr="00022913">
        <w:rPr>
          <w:rFonts w:cs="Arial"/>
          <w:szCs w:val="24"/>
        </w:rPr>
        <w:t xml:space="preserve"> rates for 20 years</w:t>
      </w:r>
      <w:r w:rsidR="005D7041" w:rsidRPr="00022913">
        <w:rPr>
          <w:rFonts w:cs="Arial"/>
          <w:szCs w:val="24"/>
        </w:rPr>
        <w:t>.</w:t>
      </w:r>
      <w:r w:rsidR="005D7041" w:rsidRPr="00022913">
        <w:rPr>
          <w:rStyle w:val="FootnoteReference"/>
          <w:rFonts w:cs="Arial"/>
          <w:szCs w:val="24"/>
        </w:rPr>
        <w:footnoteReference w:id="73"/>
      </w:r>
      <w:r w:rsidR="005D7041" w:rsidRPr="00022913">
        <w:rPr>
          <w:rFonts w:cs="Arial"/>
          <w:szCs w:val="24"/>
        </w:rPr>
        <w:t xml:space="preserve"> The value of a feed-in tariff is dependent on the technology used to generate the electricity. For instance, solar photovoltaic</w:t>
      </w:r>
      <w:r w:rsidR="000B5476" w:rsidRPr="00022913">
        <w:rPr>
          <w:rFonts w:cs="Arial"/>
          <w:szCs w:val="24"/>
        </w:rPr>
        <w:t xml:space="preserve"> generation</w:t>
      </w:r>
      <w:r w:rsidR="005D7041" w:rsidRPr="00022913">
        <w:rPr>
          <w:rFonts w:cs="Arial"/>
          <w:szCs w:val="24"/>
        </w:rPr>
        <w:t xml:space="preserve"> receive</w:t>
      </w:r>
      <w:r w:rsidR="000B5476" w:rsidRPr="00022913">
        <w:rPr>
          <w:rFonts w:cs="Arial"/>
          <w:szCs w:val="24"/>
        </w:rPr>
        <w:t>d</w:t>
      </w:r>
      <w:r w:rsidR="005D7041" w:rsidRPr="00022913">
        <w:rPr>
          <w:rFonts w:cs="Arial"/>
          <w:szCs w:val="24"/>
        </w:rPr>
        <w:t xml:space="preserve"> the highest feed-in tariff, which was </w:t>
      </w:r>
      <w:r w:rsidR="00E87435" w:rsidRPr="00022913">
        <w:rPr>
          <w:rFonts w:cs="Arial"/>
          <w:szCs w:val="24"/>
        </w:rPr>
        <w:t>€0.43/kWh</w:t>
      </w:r>
      <w:r w:rsidR="0043554D" w:rsidRPr="00022913">
        <w:rPr>
          <w:rFonts w:cs="Arial"/>
          <w:szCs w:val="24"/>
        </w:rPr>
        <w:t xml:space="preserve"> in 2009. On-shore wind </w:t>
      </w:r>
      <w:r w:rsidR="000B5476" w:rsidRPr="00022913">
        <w:rPr>
          <w:rFonts w:cs="Arial"/>
          <w:szCs w:val="24"/>
        </w:rPr>
        <w:t xml:space="preserve">generation </w:t>
      </w:r>
      <w:r w:rsidRPr="00022913">
        <w:rPr>
          <w:rFonts w:cs="Arial"/>
          <w:szCs w:val="24"/>
        </w:rPr>
        <w:t>received</w:t>
      </w:r>
      <w:r w:rsidR="005D7041" w:rsidRPr="00022913">
        <w:rPr>
          <w:rFonts w:cs="Arial"/>
          <w:szCs w:val="24"/>
        </w:rPr>
        <w:t xml:space="preserve"> </w:t>
      </w:r>
      <w:r w:rsidR="0043554D" w:rsidRPr="00022913">
        <w:rPr>
          <w:rFonts w:cs="Arial"/>
          <w:szCs w:val="24"/>
        </w:rPr>
        <w:t xml:space="preserve">€0.092/kWh, off-shore wind </w:t>
      </w:r>
      <w:r w:rsidR="000B5476" w:rsidRPr="00022913">
        <w:rPr>
          <w:rFonts w:cs="Arial"/>
          <w:szCs w:val="24"/>
        </w:rPr>
        <w:t xml:space="preserve">generation </w:t>
      </w:r>
      <w:r w:rsidR="0043554D" w:rsidRPr="00022913">
        <w:rPr>
          <w:rFonts w:cs="Arial"/>
          <w:szCs w:val="24"/>
        </w:rPr>
        <w:t>received €0.15/kWh, and biomass</w:t>
      </w:r>
      <w:r w:rsidR="000B5476" w:rsidRPr="00022913">
        <w:rPr>
          <w:rFonts w:cs="Arial"/>
          <w:szCs w:val="24"/>
        </w:rPr>
        <w:t>-based generation</w:t>
      </w:r>
      <w:r w:rsidR="0043554D" w:rsidRPr="00022913">
        <w:rPr>
          <w:rFonts w:cs="Arial"/>
          <w:szCs w:val="24"/>
        </w:rPr>
        <w:t xml:space="preserve"> received €0.143/kWh. By comparison, </w:t>
      </w:r>
      <w:r w:rsidR="000B5476" w:rsidRPr="00022913">
        <w:rPr>
          <w:rFonts w:cs="Arial"/>
          <w:szCs w:val="24"/>
        </w:rPr>
        <w:t xml:space="preserve">the </w:t>
      </w:r>
      <w:r w:rsidR="0043554D" w:rsidRPr="00022913">
        <w:rPr>
          <w:rFonts w:cs="Arial"/>
          <w:szCs w:val="24"/>
        </w:rPr>
        <w:t>typical cost to produce electr</w:t>
      </w:r>
      <w:r w:rsidR="000B5476" w:rsidRPr="00022913">
        <w:rPr>
          <w:rFonts w:cs="Arial"/>
          <w:szCs w:val="24"/>
        </w:rPr>
        <w:t>icity for a utility in Germany w</w:t>
      </w:r>
      <w:r w:rsidR="0043554D" w:rsidRPr="00022913">
        <w:rPr>
          <w:rFonts w:cs="Arial"/>
          <w:szCs w:val="24"/>
        </w:rPr>
        <w:t>ould be</w:t>
      </w:r>
      <w:r w:rsidR="000B5476" w:rsidRPr="00022913">
        <w:rPr>
          <w:rFonts w:cs="Arial"/>
          <w:szCs w:val="24"/>
        </w:rPr>
        <w:t xml:space="preserve"> around</w:t>
      </w:r>
      <w:r w:rsidR="0043554D" w:rsidRPr="00022913">
        <w:rPr>
          <w:rFonts w:cs="Arial"/>
          <w:szCs w:val="24"/>
        </w:rPr>
        <w:t xml:space="preserve"> €0.07/kWh</w:t>
      </w:r>
      <w:r w:rsidR="00A61B89" w:rsidRPr="00022913">
        <w:rPr>
          <w:rFonts w:cs="Arial"/>
          <w:szCs w:val="24"/>
        </w:rPr>
        <w:t>,</w:t>
      </w:r>
      <w:r w:rsidR="0043554D" w:rsidRPr="00022913">
        <w:rPr>
          <w:rFonts w:cs="Arial"/>
          <w:szCs w:val="24"/>
        </w:rPr>
        <w:t xml:space="preserve"> or even less. Overall, the markup of electricity to consumers in 2008 as a result of the feed-in tariff was €0.015/kWh, </w:t>
      </w:r>
      <w:r w:rsidR="00E2772E" w:rsidRPr="00022913">
        <w:rPr>
          <w:rFonts w:cs="Arial"/>
          <w:szCs w:val="24"/>
        </w:rPr>
        <w:t>or</w:t>
      </w:r>
      <w:r w:rsidR="0043554D" w:rsidRPr="00022913">
        <w:rPr>
          <w:rFonts w:cs="Arial"/>
          <w:szCs w:val="24"/>
        </w:rPr>
        <w:t xml:space="preserve"> approximately 7.5 percent of the </w:t>
      </w:r>
      <w:r w:rsidR="000B5476" w:rsidRPr="00022913">
        <w:rPr>
          <w:rFonts w:cs="Arial"/>
          <w:szCs w:val="24"/>
        </w:rPr>
        <w:t xml:space="preserve">total electricity </w:t>
      </w:r>
      <w:r w:rsidR="0043554D" w:rsidRPr="00022913">
        <w:rPr>
          <w:rFonts w:cs="Arial"/>
          <w:szCs w:val="24"/>
        </w:rPr>
        <w:t>rate paid by consumers.</w:t>
      </w:r>
    </w:p>
    <w:p w:rsidR="007C12AE" w:rsidRPr="00022913" w:rsidRDefault="004731E6" w:rsidP="00FA59F3">
      <w:pPr>
        <w:rPr>
          <w:rFonts w:cs="Arial"/>
          <w:szCs w:val="24"/>
        </w:rPr>
      </w:pPr>
      <w:r w:rsidRPr="00022913">
        <w:rPr>
          <w:rFonts w:cs="Arial"/>
          <w:szCs w:val="24"/>
        </w:rPr>
        <w:t xml:space="preserve">Germany’s renewable energy policies have been quite successful. </w:t>
      </w:r>
      <w:r w:rsidR="00E2772E" w:rsidRPr="00022913">
        <w:rPr>
          <w:rFonts w:cs="Arial"/>
          <w:szCs w:val="24"/>
        </w:rPr>
        <w:t>From</w:t>
      </w:r>
      <w:r w:rsidRPr="00022913">
        <w:rPr>
          <w:rFonts w:cs="Arial"/>
          <w:szCs w:val="24"/>
        </w:rPr>
        <w:t xml:space="preserve"> 1990, when the first feed-in tariff law was passed, to 2000, when the second feed-in tariff was passed, annual production of renewable energy more than doubled</w:t>
      </w:r>
      <w:r w:rsidR="003A19B6" w:rsidRPr="00022913">
        <w:rPr>
          <w:rFonts w:cs="Arial"/>
          <w:szCs w:val="24"/>
        </w:rPr>
        <w:t xml:space="preserve">. </w:t>
      </w:r>
      <w:r w:rsidR="00E2772E" w:rsidRPr="00022913">
        <w:rPr>
          <w:rFonts w:cs="Arial"/>
          <w:szCs w:val="24"/>
        </w:rPr>
        <w:t>It jumped</w:t>
      </w:r>
      <w:r w:rsidR="00990E61" w:rsidRPr="00022913">
        <w:rPr>
          <w:rFonts w:cs="Arial"/>
          <w:szCs w:val="24"/>
        </w:rPr>
        <w:t xml:space="preserve"> from just over 17,000 gigawatt-</w:t>
      </w:r>
      <w:r w:rsidRPr="00022913">
        <w:rPr>
          <w:rFonts w:cs="Arial"/>
          <w:szCs w:val="24"/>
        </w:rPr>
        <w:t>hours (GWh)</w:t>
      </w:r>
      <w:r w:rsidR="00E2772E" w:rsidRPr="00022913">
        <w:rPr>
          <w:rFonts w:cs="Arial"/>
          <w:szCs w:val="24"/>
        </w:rPr>
        <w:t xml:space="preserve">, or </w:t>
      </w:r>
      <w:r w:rsidR="00A40B92" w:rsidRPr="00022913">
        <w:rPr>
          <w:rFonts w:cs="Arial"/>
          <w:szCs w:val="24"/>
        </w:rPr>
        <w:t>3.1 percent of generation</w:t>
      </w:r>
      <w:r w:rsidR="00E2772E" w:rsidRPr="00022913">
        <w:rPr>
          <w:rFonts w:cs="Arial"/>
          <w:szCs w:val="24"/>
        </w:rPr>
        <w:t xml:space="preserve">, </w:t>
      </w:r>
      <w:r w:rsidRPr="00022913">
        <w:rPr>
          <w:rFonts w:cs="Arial"/>
          <w:szCs w:val="24"/>
        </w:rPr>
        <w:t>to more than 37,000 GWh</w:t>
      </w:r>
      <w:r w:rsidR="00E2772E" w:rsidRPr="00022913">
        <w:rPr>
          <w:rFonts w:cs="Arial"/>
          <w:szCs w:val="24"/>
        </w:rPr>
        <w:t xml:space="preserve">, or </w:t>
      </w:r>
      <w:r w:rsidR="00A40B92" w:rsidRPr="00022913">
        <w:rPr>
          <w:rFonts w:cs="Arial"/>
          <w:szCs w:val="24"/>
        </w:rPr>
        <w:t>6.4 percent of generation</w:t>
      </w:r>
      <w:r w:rsidRPr="00022913">
        <w:rPr>
          <w:rFonts w:cs="Arial"/>
          <w:szCs w:val="24"/>
        </w:rPr>
        <w:t>.</w:t>
      </w:r>
      <w:r w:rsidR="00527521" w:rsidRPr="00022913">
        <w:rPr>
          <w:rStyle w:val="FootnoteReference"/>
          <w:rFonts w:cs="Arial"/>
          <w:szCs w:val="24"/>
        </w:rPr>
        <w:footnoteReference w:id="74"/>
      </w:r>
      <w:r w:rsidR="00A40B92" w:rsidRPr="00022913">
        <w:rPr>
          <w:rFonts w:cs="Arial"/>
          <w:szCs w:val="24"/>
        </w:rPr>
        <w:t xml:space="preserve"> By 2011, </w:t>
      </w:r>
      <w:r w:rsidR="000B5476" w:rsidRPr="00022913">
        <w:rPr>
          <w:rFonts w:cs="Arial"/>
          <w:szCs w:val="24"/>
        </w:rPr>
        <w:t>renewable</w:t>
      </w:r>
      <w:r w:rsidR="00A40B92" w:rsidRPr="00022913">
        <w:rPr>
          <w:rFonts w:cs="Arial"/>
          <w:szCs w:val="24"/>
        </w:rPr>
        <w:t xml:space="preserve"> energy generation had increased to nearly 122,000 GWh, which is equivalent to 20.1 percent of </w:t>
      </w:r>
      <w:r w:rsidR="00A40B92" w:rsidRPr="00022913">
        <w:rPr>
          <w:rFonts w:cs="Arial"/>
          <w:szCs w:val="24"/>
        </w:rPr>
        <w:lastRenderedPageBreak/>
        <w:t>electricity generation in Germany.</w:t>
      </w:r>
      <w:r w:rsidR="00A40B92" w:rsidRPr="00022913">
        <w:rPr>
          <w:rStyle w:val="FootnoteReference"/>
          <w:rFonts w:cs="Arial"/>
          <w:szCs w:val="24"/>
        </w:rPr>
        <w:footnoteReference w:id="75"/>
      </w:r>
      <w:r w:rsidR="00A40B92" w:rsidRPr="00022913">
        <w:rPr>
          <w:rFonts w:cs="Arial"/>
          <w:szCs w:val="24"/>
        </w:rPr>
        <w:t xml:space="preserve"> </w:t>
      </w:r>
      <w:r w:rsidR="007C12AE" w:rsidRPr="00022913">
        <w:rPr>
          <w:rFonts w:cs="Arial"/>
          <w:szCs w:val="24"/>
        </w:rPr>
        <w:t>By 2012, Germany had approximately one third of all installed solar photovoltaic generation capacity in the world.</w:t>
      </w:r>
      <w:r w:rsidR="007C12AE" w:rsidRPr="00022913">
        <w:rPr>
          <w:rStyle w:val="FootnoteReference"/>
          <w:rFonts w:cs="Arial"/>
          <w:szCs w:val="24"/>
        </w:rPr>
        <w:footnoteReference w:id="76"/>
      </w:r>
      <w:r w:rsidR="007C12AE" w:rsidRPr="00022913">
        <w:rPr>
          <w:rFonts w:cs="Arial"/>
          <w:szCs w:val="24"/>
        </w:rPr>
        <w:t xml:space="preserve"> Other countries, including Denmark, France, Italy, and Spain have followed Germany’s lead in adopting feed-in tariffs for renewable energy.</w:t>
      </w:r>
      <w:r w:rsidR="007C12AE" w:rsidRPr="00022913">
        <w:rPr>
          <w:rStyle w:val="FootnoteReference"/>
          <w:rFonts w:cs="Arial"/>
          <w:szCs w:val="24"/>
        </w:rPr>
        <w:t xml:space="preserve"> </w:t>
      </w:r>
      <w:r w:rsidR="007C12AE" w:rsidRPr="00022913">
        <w:rPr>
          <w:rStyle w:val="FootnoteReference"/>
          <w:rFonts w:cs="Arial"/>
          <w:szCs w:val="24"/>
        </w:rPr>
        <w:footnoteReference w:id="77"/>
      </w:r>
    </w:p>
    <w:p w:rsidR="00AC6B7A" w:rsidRPr="00022913" w:rsidRDefault="000F2F33" w:rsidP="00FA59F3">
      <w:pPr>
        <w:rPr>
          <w:rFonts w:cs="Arial"/>
          <w:szCs w:val="24"/>
        </w:rPr>
      </w:pPr>
      <w:r w:rsidRPr="00022913">
        <w:rPr>
          <w:rFonts w:cs="Arial"/>
          <w:szCs w:val="24"/>
        </w:rPr>
        <w:t>As a result of its success, the feed-in tariff has survived</w:t>
      </w:r>
      <w:r w:rsidR="00E2772E" w:rsidRPr="00022913">
        <w:rPr>
          <w:rFonts w:cs="Arial"/>
          <w:szCs w:val="24"/>
        </w:rPr>
        <w:t>,</w:t>
      </w:r>
      <w:r w:rsidRPr="00022913">
        <w:rPr>
          <w:rFonts w:cs="Arial"/>
          <w:szCs w:val="24"/>
        </w:rPr>
        <w:t xml:space="preserve"> </w:t>
      </w:r>
      <w:r w:rsidR="00BF7E8D" w:rsidRPr="00022913">
        <w:rPr>
          <w:rFonts w:cs="Arial"/>
          <w:szCs w:val="24"/>
        </w:rPr>
        <w:t xml:space="preserve">even </w:t>
      </w:r>
      <w:r w:rsidRPr="00022913">
        <w:rPr>
          <w:rFonts w:cs="Arial"/>
          <w:szCs w:val="24"/>
        </w:rPr>
        <w:t xml:space="preserve">though the ruling party in Germany has changed several times since the tariff was first enacted. While the tariff was criticized </w:t>
      </w:r>
      <w:r w:rsidR="00AC6B7A" w:rsidRPr="00022913">
        <w:rPr>
          <w:rFonts w:cs="Arial"/>
          <w:szCs w:val="24"/>
        </w:rPr>
        <w:t xml:space="preserve">by </w:t>
      </w:r>
      <w:r w:rsidRPr="00022913">
        <w:rPr>
          <w:rFonts w:cs="Arial"/>
          <w:szCs w:val="24"/>
        </w:rPr>
        <w:t>the Christian Democrats wh</w:t>
      </w:r>
      <w:r w:rsidR="00E2772E" w:rsidRPr="00022913">
        <w:rPr>
          <w:rFonts w:cs="Arial"/>
          <w:szCs w:val="24"/>
        </w:rPr>
        <w:t>en</w:t>
      </w:r>
      <w:r w:rsidRPr="00022913">
        <w:rPr>
          <w:rFonts w:cs="Arial"/>
          <w:szCs w:val="24"/>
        </w:rPr>
        <w:t xml:space="preserve"> they were the opposition party, its success in job creation has </w:t>
      </w:r>
      <w:r w:rsidR="00AC6B7A" w:rsidRPr="00022913">
        <w:rPr>
          <w:rFonts w:cs="Arial"/>
          <w:szCs w:val="24"/>
        </w:rPr>
        <w:t>led them to maintain the policy while in power.</w:t>
      </w:r>
      <w:r w:rsidR="00AC6B7A" w:rsidRPr="00022913">
        <w:rPr>
          <w:rStyle w:val="FootnoteReference"/>
          <w:rFonts w:cs="Arial"/>
          <w:szCs w:val="24"/>
        </w:rPr>
        <w:footnoteReference w:id="78"/>
      </w:r>
      <w:r w:rsidR="00AC6B7A" w:rsidRPr="00022913">
        <w:rPr>
          <w:rFonts w:cs="Arial"/>
          <w:szCs w:val="24"/>
        </w:rPr>
        <w:t xml:space="preserve"> In 2012, the rate for solar photovoltaic generation was decreased by 20 to 26 percent </w:t>
      </w:r>
      <w:r w:rsidR="00E2772E" w:rsidRPr="00022913">
        <w:rPr>
          <w:rFonts w:cs="Arial"/>
          <w:szCs w:val="24"/>
        </w:rPr>
        <w:t>(</w:t>
      </w:r>
      <w:r w:rsidR="00AC6B7A" w:rsidRPr="00022913">
        <w:rPr>
          <w:rFonts w:cs="Arial"/>
          <w:szCs w:val="24"/>
        </w:rPr>
        <w:t>depending on the size of the array</w:t>
      </w:r>
      <w:r w:rsidR="00E2772E" w:rsidRPr="00022913">
        <w:rPr>
          <w:rFonts w:cs="Arial"/>
          <w:szCs w:val="24"/>
        </w:rPr>
        <w:t>)</w:t>
      </w:r>
      <w:r w:rsidR="00AC6B7A" w:rsidRPr="00022913">
        <w:rPr>
          <w:rFonts w:cs="Arial"/>
          <w:szCs w:val="24"/>
        </w:rPr>
        <w:t xml:space="preserve"> in an effort to stabilize the market.</w:t>
      </w:r>
      <w:r w:rsidR="00AC6B7A" w:rsidRPr="00022913">
        <w:rPr>
          <w:rStyle w:val="FootnoteReference"/>
          <w:rFonts w:cs="Arial"/>
          <w:szCs w:val="24"/>
        </w:rPr>
        <w:footnoteReference w:id="79"/>
      </w:r>
      <w:r w:rsidR="00F42C60" w:rsidRPr="00022913">
        <w:rPr>
          <w:rFonts w:cs="Arial"/>
          <w:szCs w:val="24"/>
        </w:rPr>
        <w:t xml:space="preserve"> More recently, Germany’s success at converting its grid to renewable energy has been called into question as the country is installing many new coal-fired electric plants to replace nuclear plants as it moves away from reliance on nuclear power.</w:t>
      </w:r>
      <w:r w:rsidR="00F42C60" w:rsidRPr="00022913">
        <w:rPr>
          <w:rStyle w:val="FootnoteReference"/>
          <w:rFonts w:cs="Arial"/>
          <w:szCs w:val="24"/>
        </w:rPr>
        <w:footnoteReference w:id="80"/>
      </w:r>
    </w:p>
    <w:p w:rsidR="00EA3E84" w:rsidRPr="008720F3" w:rsidRDefault="00427A9C" w:rsidP="00022913">
      <w:pPr>
        <w:pStyle w:val="Heading3"/>
      </w:pPr>
      <w:bookmarkStart w:id="34" w:name="_Toc352854190"/>
      <w:r w:rsidRPr="008720F3">
        <w:t>Other Financing Options for Renewable Energy</w:t>
      </w:r>
      <w:bookmarkEnd w:id="34"/>
      <w:r w:rsidRPr="008720F3">
        <w:t xml:space="preserve"> </w:t>
      </w:r>
    </w:p>
    <w:p w:rsidR="00EA3E84" w:rsidRPr="00022913" w:rsidRDefault="00427A9C" w:rsidP="0078480F">
      <w:pPr>
        <w:rPr>
          <w:rFonts w:cs="Arial"/>
          <w:szCs w:val="24"/>
        </w:rPr>
      </w:pPr>
      <w:r w:rsidRPr="00022913">
        <w:rPr>
          <w:rFonts w:cs="Arial"/>
          <w:szCs w:val="24"/>
        </w:rPr>
        <w:t>Rather than provid</w:t>
      </w:r>
      <w:r w:rsidR="00E2772E" w:rsidRPr="00022913">
        <w:rPr>
          <w:rFonts w:cs="Arial"/>
          <w:szCs w:val="24"/>
        </w:rPr>
        <w:t>e</w:t>
      </w:r>
      <w:r w:rsidRPr="00022913">
        <w:rPr>
          <w:rFonts w:cs="Arial"/>
          <w:szCs w:val="24"/>
        </w:rPr>
        <w:t xml:space="preserve"> direct subsidies for renewable energy,</w:t>
      </w:r>
      <w:r w:rsidR="00EA3E84" w:rsidRPr="00022913">
        <w:rPr>
          <w:rFonts w:cs="Arial"/>
          <w:szCs w:val="24"/>
        </w:rPr>
        <w:t xml:space="preserve"> </w:t>
      </w:r>
      <w:r w:rsidRPr="00022913">
        <w:rPr>
          <w:rFonts w:cs="Arial"/>
          <w:szCs w:val="24"/>
        </w:rPr>
        <w:t xml:space="preserve">policymakers in </w:t>
      </w:r>
      <w:r w:rsidR="00EA3E84" w:rsidRPr="00022913">
        <w:rPr>
          <w:rFonts w:cs="Arial"/>
          <w:szCs w:val="24"/>
        </w:rPr>
        <w:t xml:space="preserve">the United States </w:t>
      </w:r>
      <w:r w:rsidRPr="00022913">
        <w:rPr>
          <w:rFonts w:cs="Arial"/>
          <w:szCs w:val="24"/>
        </w:rPr>
        <w:t>are considering decreasing the costs of</w:t>
      </w:r>
      <w:r w:rsidR="00EA3E84" w:rsidRPr="00022913">
        <w:rPr>
          <w:rFonts w:cs="Arial"/>
          <w:szCs w:val="24"/>
        </w:rPr>
        <w:t xml:space="preserve"> financing </w:t>
      </w:r>
      <w:r w:rsidRPr="00022913">
        <w:rPr>
          <w:rFonts w:cs="Arial"/>
          <w:szCs w:val="24"/>
        </w:rPr>
        <w:t xml:space="preserve">investments by allowing renewable energy projects to take advantage of instruments such as </w:t>
      </w:r>
      <w:r w:rsidR="00EA3E84" w:rsidRPr="00022913">
        <w:rPr>
          <w:rFonts w:cs="Arial"/>
          <w:szCs w:val="24"/>
        </w:rPr>
        <w:t xml:space="preserve">the master limited partnership </w:t>
      </w:r>
      <w:r w:rsidRPr="00022913">
        <w:rPr>
          <w:rFonts w:cs="Arial"/>
          <w:szCs w:val="24"/>
        </w:rPr>
        <w:t xml:space="preserve">(MLP) </w:t>
      </w:r>
      <w:r w:rsidR="00EA3E84" w:rsidRPr="00022913">
        <w:rPr>
          <w:rFonts w:cs="Arial"/>
          <w:szCs w:val="24"/>
        </w:rPr>
        <w:t>and the real estate investment trust</w:t>
      </w:r>
      <w:r w:rsidRPr="00022913">
        <w:rPr>
          <w:rFonts w:cs="Arial"/>
          <w:szCs w:val="24"/>
        </w:rPr>
        <w:t xml:space="preserve"> (REIT).</w:t>
      </w:r>
      <w:r w:rsidR="006D3B92" w:rsidRPr="00022913">
        <w:rPr>
          <w:rStyle w:val="FootnoteReference"/>
          <w:rFonts w:cs="Arial"/>
          <w:szCs w:val="24"/>
        </w:rPr>
        <w:footnoteReference w:id="81"/>
      </w:r>
      <w:r w:rsidR="00EA3E84" w:rsidRPr="00022913">
        <w:rPr>
          <w:rFonts w:cs="Arial"/>
          <w:szCs w:val="24"/>
        </w:rPr>
        <w:t xml:space="preserve"> </w:t>
      </w:r>
    </w:p>
    <w:p w:rsidR="00022913" w:rsidRDefault="00EC5EF5" w:rsidP="0078480F">
      <w:pPr>
        <w:rPr>
          <w:rFonts w:cs="Arial"/>
          <w:szCs w:val="24"/>
        </w:rPr>
      </w:pPr>
      <w:r w:rsidRPr="00022913">
        <w:rPr>
          <w:rFonts w:cs="Arial"/>
          <w:szCs w:val="24"/>
        </w:rPr>
        <w:t>Companies could use</w:t>
      </w:r>
      <w:r w:rsidR="00427A9C" w:rsidRPr="00022913">
        <w:rPr>
          <w:rFonts w:cs="Arial"/>
          <w:szCs w:val="24"/>
        </w:rPr>
        <w:t xml:space="preserve"> a REIT or MLP</w:t>
      </w:r>
      <w:r w:rsidRPr="00022913">
        <w:rPr>
          <w:rFonts w:cs="Arial"/>
          <w:szCs w:val="24"/>
        </w:rPr>
        <w:t xml:space="preserve"> to attract </w:t>
      </w:r>
      <w:r w:rsidR="006D3B92" w:rsidRPr="00022913">
        <w:rPr>
          <w:rFonts w:cs="Arial"/>
          <w:szCs w:val="24"/>
        </w:rPr>
        <w:t>a broader range of investors</w:t>
      </w:r>
      <w:r w:rsidRPr="00022913">
        <w:rPr>
          <w:rFonts w:cs="Arial"/>
          <w:szCs w:val="24"/>
        </w:rPr>
        <w:t xml:space="preserve"> for renewable energy projects</w:t>
      </w:r>
      <w:r w:rsidR="006D3B92" w:rsidRPr="00022913">
        <w:rPr>
          <w:rFonts w:cs="Arial"/>
          <w:szCs w:val="24"/>
        </w:rPr>
        <w:t xml:space="preserve">. </w:t>
      </w:r>
      <w:r w:rsidRPr="00022913">
        <w:rPr>
          <w:rFonts w:cs="Arial"/>
          <w:szCs w:val="24"/>
        </w:rPr>
        <w:t xml:space="preserve">The two instruments do not pay corporate income taxes, but instead pass on earnings to </w:t>
      </w:r>
      <w:r w:rsidR="006D3B92" w:rsidRPr="00022913">
        <w:rPr>
          <w:rFonts w:cs="Arial"/>
          <w:szCs w:val="24"/>
        </w:rPr>
        <w:t>invest</w:t>
      </w:r>
      <w:r w:rsidRPr="00022913">
        <w:rPr>
          <w:rFonts w:cs="Arial"/>
          <w:szCs w:val="24"/>
        </w:rPr>
        <w:t xml:space="preserve">ors who </w:t>
      </w:r>
      <w:r w:rsidR="006D3B92" w:rsidRPr="00022913">
        <w:rPr>
          <w:rFonts w:cs="Arial"/>
          <w:szCs w:val="24"/>
        </w:rPr>
        <w:t>pay taxes</w:t>
      </w:r>
      <w:r w:rsidRPr="00022913">
        <w:rPr>
          <w:rFonts w:cs="Arial"/>
          <w:szCs w:val="24"/>
        </w:rPr>
        <w:t xml:space="preserve"> on the income</w:t>
      </w:r>
      <w:r w:rsidR="006D3B92" w:rsidRPr="00022913">
        <w:rPr>
          <w:rFonts w:cs="Arial"/>
          <w:szCs w:val="24"/>
        </w:rPr>
        <w:t xml:space="preserve">. </w:t>
      </w:r>
      <w:r w:rsidRPr="00022913">
        <w:rPr>
          <w:rFonts w:cs="Arial"/>
          <w:szCs w:val="24"/>
        </w:rPr>
        <w:t>The Internal Revenue Service</w:t>
      </w:r>
      <w:r w:rsidR="006D3B92" w:rsidRPr="00022913">
        <w:rPr>
          <w:rFonts w:cs="Arial"/>
          <w:szCs w:val="24"/>
        </w:rPr>
        <w:t xml:space="preserve"> could </w:t>
      </w:r>
      <w:r w:rsidR="00B56732" w:rsidRPr="00022913">
        <w:rPr>
          <w:rFonts w:cs="Arial"/>
          <w:szCs w:val="24"/>
        </w:rPr>
        <w:t>permit</w:t>
      </w:r>
      <w:r w:rsidRPr="00022913">
        <w:rPr>
          <w:rFonts w:cs="Arial"/>
          <w:szCs w:val="24"/>
        </w:rPr>
        <w:t xml:space="preserve"> renewable energy projects to use</w:t>
      </w:r>
      <w:r w:rsidR="006D3B92" w:rsidRPr="00022913">
        <w:rPr>
          <w:rFonts w:cs="Arial"/>
          <w:szCs w:val="24"/>
        </w:rPr>
        <w:t xml:space="preserve"> REI</w:t>
      </w:r>
      <w:r w:rsidRPr="00022913">
        <w:rPr>
          <w:rFonts w:cs="Arial"/>
          <w:szCs w:val="24"/>
        </w:rPr>
        <w:t>Ts, but allowing such projects to use MLPs would require</w:t>
      </w:r>
      <w:r w:rsidR="006D3B92" w:rsidRPr="00022913">
        <w:rPr>
          <w:rFonts w:cs="Arial"/>
          <w:szCs w:val="24"/>
        </w:rPr>
        <w:t xml:space="preserve"> Congress</w:t>
      </w:r>
      <w:r w:rsidRPr="00022913">
        <w:rPr>
          <w:rFonts w:cs="Arial"/>
          <w:szCs w:val="24"/>
        </w:rPr>
        <w:t>ional legislation.</w:t>
      </w:r>
    </w:p>
    <w:p w:rsidR="0078480F" w:rsidRPr="00022913" w:rsidRDefault="0078480F" w:rsidP="0078480F">
      <w:pPr>
        <w:rPr>
          <w:rFonts w:cs="Arial"/>
          <w:szCs w:val="24"/>
        </w:rPr>
      </w:pPr>
      <w:r w:rsidRPr="00022913">
        <w:rPr>
          <w:rFonts w:cs="Arial"/>
          <w:b/>
          <w:szCs w:val="24"/>
        </w:rPr>
        <w:br w:type="page"/>
      </w:r>
    </w:p>
    <w:p w:rsidR="009F6661" w:rsidRDefault="009F6661">
      <w:pPr>
        <w:rPr>
          <w:rFonts w:eastAsia="Times New Roman" w:cstheme="minorHAnsi"/>
          <w:b/>
          <w:bCs/>
          <w:caps/>
          <w:color w:val="365F91" w:themeColor="accent1" w:themeShade="BF"/>
          <w:kern w:val="32"/>
          <w:sz w:val="32"/>
          <w:szCs w:val="24"/>
          <w:lang w:val="x-none" w:eastAsia="x-none"/>
        </w:rPr>
      </w:pPr>
      <w:r>
        <w:lastRenderedPageBreak/>
        <w:br w:type="page"/>
      </w:r>
    </w:p>
    <w:p w:rsidR="006D3B92" w:rsidRPr="008720F3" w:rsidRDefault="00E426B1" w:rsidP="00022913">
      <w:pPr>
        <w:pStyle w:val="Heading1"/>
      </w:pPr>
      <w:bookmarkStart w:id="35" w:name="_Toc352854191"/>
      <w:r w:rsidRPr="008720F3">
        <w:lastRenderedPageBreak/>
        <w:t>EXISTING INFRASTRUCTURE INVESTMENTS IN SELECTED COUNTRIES</w:t>
      </w:r>
      <w:bookmarkEnd w:id="35"/>
    </w:p>
    <w:p w:rsidR="00B70B77" w:rsidRPr="00022913" w:rsidRDefault="00E426B1" w:rsidP="00B70B77">
      <w:pPr>
        <w:rPr>
          <w:rFonts w:cs="Arial"/>
          <w:szCs w:val="24"/>
        </w:rPr>
      </w:pPr>
      <w:r w:rsidRPr="00022913">
        <w:rPr>
          <w:rFonts w:cs="Arial"/>
          <w:szCs w:val="24"/>
        </w:rPr>
        <w:t xml:space="preserve">Countries around the world have begun investing in the infrastructure required to support AFVs. </w:t>
      </w:r>
      <w:r w:rsidR="00B56732" w:rsidRPr="00022913">
        <w:rPr>
          <w:rFonts w:cs="Arial"/>
          <w:szCs w:val="24"/>
        </w:rPr>
        <w:t>I</w:t>
      </w:r>
      <w:r w:rsidRPr="00022913">
        <w:rPr>
          <w:rFonts w:cs="Arial"/>
          <w:szCs w:val="24"/>
        </w:rPr>
        <w:t>nfrastructure</w:t>
      </w:r>
      <w:r w:rsidR="00B56732" w:rsidRPr="00022913">
        <w:rPr>
          <w:rFonts w:cs="Arial"/>
          <w:szCs w:val="24"/>
        </w:rPr>
        <w:t xml:space="preserve"> installation</w:t>
      </w:r>
      <w:r w:rsidRPr="00022913">
        <w:rPr>
          <w:rFonts w:cs="Arial"/>
          <w:szCs w:val="24"/>
        </w:rPr>
        <w:t xml:space="preserve"> has been driven by both market and regulatory forces</w:t>
      </w:r>
      <w:r w:rsidR="00B56732" w:rsidRPr="00022913">
        <w:rPr>
          <w:rFonts w:cs="Arial"/>
          <w:szCs w:val="24"/>
        </w:rPr>
        <w:t>;</w:t>
      </w:r>
      <w:r w:rsidRPr="00022913">
        <w:rPr>
          <w:rFonts w:cs="Arial"/>
          <w:szCs w:val="24"/>
        </w:rPr>
        <w:t xml:space="preserve"> the funding for it has been a mix of public and private investment.</w:t>
      </w:r>
      <w:r w:rsidR="00157CD6" w:rsidRPr="00022913">
        <w:rPr>
          <w:rFonts w:cs="Arial"/>
          <w:szCs w:val="24"/>
        </w:rPr>
        <w:t xml:space="preserve"> This section provides an overview of the existing AFV infrastructure in several locations, including Brazil, China, the European Union, the United States, and </w:t>
      </w:r>
      <w:r w:rsidR="00B56732" w:rsidRPr="00022913">
        <w:rPr>
          <w:rFonts w:cs="Arial"/>
          <w:szCs w:val="24"/>
        </w:rPr>
        <w:t xml:space="preserve">(specifically) </w:t>
      </w:r>
      <w:r w:rsidR="00157CD6" w:rsidRPr="00022913">
        <w:rPr>
          <w:rFonts w:cs="Arial"/>
          <w:szCs w:val="24"/>
        </w:rPr>
        <w:t>California.</w:t>
      </w:r>
    </w:p>
    <w:p w:rsidR="00031352" w:rsidRPr="008720F3" w:rsidRDefault="00031352" w:rsidP="00022913">
      <w:pPr>
        <w:pStyle w:val="Heading2"/>
      </w:pPr>
      <w:bookmarkStart w:id="36" w:name="_Toc352854192"/>
      <w:r w:rsidRPr="008720F3">
        <w:t>Brazil</w:t>
      </w:r>
      <w:bookmarkEnd w:id="36"/>
    </w:p>
    <w:p w:rsidR="00B70B77" w:rsidRPr="00022913" w:rsidRDefault="00B70B77" w:rsidP="00B70B77">
      <w:pPr>
        <w:pStyle w:val="NoSpacing"/>
        <w:spacing w:after="200" w:line="276" w:lineRule="auto"/>
        <w:rPr>
          <w:rFonts w:cs="Arial"/>
          <w:szCs w:val="24"/>
        </w:rPr>
      </w:pPr>
      <w:r w:rsidRPr="00022913">
        <w:rPr>
          <w:rFonts w:cs="Arial"/>
          <w:szCs w:val="24"/>
        </w:rPr>
        <w:t>Flex-fuel vehicles account for a higher share of the Brazilian vehicle f</w:t>
      </w:r>
      <w:r w:rsidR="00A8355B" w:rsidRPr="00022913">
        <w:rPr>
          <w:rFonts w:cs="Arial"/>
          <w:szCs w:val="24"/>
        </w:rPr>
        <w:t>leet than any other, worldwide.</w:t>
      </w:r>
      <w:r w:rsidR="00B56732" w:rsidRPr="00022913">
        <w:rPr>
          <w:rFonts w:cs="Arial"/>
          <w:szCs w:val="24"/>
        </w:rPr>
        <w:t xml:space="preserve"> I</w:t>
      </w:r>
      <w:r w:rsidR="00527521" w:rsidRPr="00022913">
        <w:rPr>
          <w:rFonts w:cs="Arial"/>
          <w:szCs w:val="24"/>
        </w:rPr>
        <w:t xml:space="preserve">n </w:t>
      </w:r>
      <w:r w:rsidR="00B56732" w:rsidRPr="00022913">
        <w:rPr>
          <w:rFonts w:cs="Arial"/>
          <w:szCs w:val="24"/>
        </w:rPr>
        <w:t>2012, the</w:t>
      </w:r>
      <w:r w:rsidR="00A61B89" w:rsidRPr="00022913">
        <w:rPr>
          <w:rFonts w:cs="Arial"/>
          <w:szCs w:val="24"/>
        </w:rPr>
        <w:t xml:space="preserve"> </w:t>
      </w:r>
      <w:r w:rsidR="00527521" w:rsidRPr="00022913">
        <w:rPr>
          <w:rFonts w:cs="Arial"/>
          <w:szCs w:val="24"/>
        </w:rPr>
        <w:t xml:space="preserve">number of </w:t>
      </w:r>
      <w:r w:rsidR="00EF7F7B" w:rsidRPr="00022913">
        <w:rPr>
          <w:rFonts w:cs="Arial"/>
          <w:szCs w:val="24"/>
        </w:rPr>
        <w:t xml:space="preserve">newly registered </w:t>
      </w:r>
      <w:r w:rsidR="00527521" w:rsidRPr="00022913">
        <w:rPr>
          <w:rFonts w:cs="Arial"/>
          <w:szCs w:val="24"/>
        </w:rPr>
        <w:t>flex-fuel vehicles in Brazil</w:t>
      </w:r>
      <w:r w:rsidRPr="00022913">
        <w:rPr>
          <w:rFonts w:cs="Arial"/>
          <w:szCs w:val="24"/>
        </w:rPr>
        <w:t xml:space="preserve"> </w:t>
      </w:r>
      <w:r w:rsidR="00527521" w:rsidRPr="00022913">
        <w:rPr>
          <w:rFonts w:cs="Arial"/>
          <w:szCs w:val="24"/>
        </w:rPr>
        <w:t>was</w:t>
      </w:r>
      <w:r w:rsidRPr="00022913">
        <w:rPr>
          <w:rFonts w:cs="Arial"/>
          <w:szCs w:val="24"/>
        </w:rPr>
        <w:t xml:space="preserve"> 3,1</w:t>
      </w:r>
      <w:r w:rsidR="007D58BC" w:rsidRPr="00022913">
        <w:rPr>
          <w:rFonts w:cs="Arial"/>
          <w:szCs w:val="24"/>
        </w:rPr>
        <w:t>63,000</w:t>
      </w:r>
      <w:r w:rsidR="00B56732" w:rsidRPr="00022913">
        <w:rPr>
          <w:rFonts w:cs="Arial"/>
          <w:szCs w:val="24"/>
        </w:rPr>
        <w:t>,</w:t>
      </w:r>
      <w:r w:rsidR="007D58BC" w:rsidRPr="00022913">
        <w:rPr>
          <w:rFonts w:cs="Arial"/>
          <w:szCs w:val="24"/>
        </w:rPr>
        <w:t xml:space="preserve"> representing 87 percent</w:t>
      </w:r>
      <w:r w:rsidRPr="00022913">
        <w:rPr>
          <w:rFonts w:cs="Arial"/>
          <w:szCs w:val="24"/>
        </w:rPr>
        <w:t xml:space="preserve"> </w:t>
      </w:r>
      <w:r w:rsidR="00EF7F7B" w:rsidRPr="00022913">
        <w:rPr>
          <w:rFonts w:cs="Arial"/>
          <w:szCs w:val="24"/>
        </w:rPr>
        <w:t>of the market</w:t>
      </w:r>
      <w:r w:rsidRPr="00022913">
        <w:rPr>
          <w:rFonts w:cs="Arial"/>
          <w:szCs w:val="24"/>
        </w:rPr>
        <w:t>. Virtually all of the remaining vehicles were operating off of gasoline (</w:t>
      </w:r>
      <w:r w:rsidR="007D58BC" w:rsidRPr="00022913">
        <w:rPr>
          <w:rFonts w:cs="Arial"/>
          <w:szCs w:val="24"/>
        </w:rPr>
        <w:t>7.5 percent</w:t>
      </w:r>
      <w:r w:rsidRPr="00022913">
        <w:rPr>
          <w:rFonts w:cs="Arial"/>
          <w:szCs w:val="24"/>
        </w:rPr>
        <w:t>) or diesel (</w:t>
      </w:r>
      <w:r w:rsidR="007D58BC" w:rsidRPr="00022913">
        <w:rPr>
          <w:rFonts w:cs="Arial"/>
          <w:szCs w:val="24"/>
        </w:rPr>
        <w:t>5.4 percent</w:t>
      </w:r>
      <w:r w:rsidRPr="00022913">
        <w:rPr>
          <w:rFonts w:cs="Arial"/>
          <w:szCs w:val="24"/>
        </w:rPr>
        <w:t>).</w:t>
      </w:r>
      <w:r w:rsidRPr="00022913">
        <w:rPr>
          <w:rStyle w:val="FootnoteReference"/>
          <w:rFonts w:cs="Arial"/>
          <w:szCs w:val="24"/>
        </w:rPr>
        <w:footnoteReference w:id="82"/>
      </w:r>
    </w:p>
    <w:p w:rsidR="00B70B77" w:rsidRPr="00022913" w:rsidRDefault="00B70B77" w:rsidP="00B70B77">
      <w:pPr>
        <w:pStyle w:val="NoSpacing"/>
        <w:spacing w:after="200" w:line="276" w:lineRule="auto"/>
        <w:rPr>
          <w:rFonts w:cs="Arial"/>
          <w:szCs w:val="24"/>
        </w:rPr>
      </w:pPr>
      <w:r w:rsidRPr="00022913">
        <w:rPr>
          <w:rFonts w:cs="Arial"/>
          <w:szCs w:val="24"/>
        </w:rPr>
        <w:t xml:space="preserve">The preponderance of flex-fuel vehicles in Brazil is the </w:t>
      </w:r>
      <w:r w:rsidR="00B56732" w:rsidRPr="00022913">
        <w:rPr>
          <w:rFonts w:cs="Arial"/>
          <w:szCs w:val="24"/>
        </w:rPr>
        <w:t>result</w:t>
      </w:r>
      <w:r w:rsidRPr="00022913">
        <w:rPr>
          <w:rFonts w:cs="Arial"/>
          <w:szCs w:val="24"/>
        </w:rPr>
        <w:t xml:space="preserve"> of a long-standing ethanol blend mandate. In response to the 1973 oil crisis, the Brazilian government introduced mandatory ethanol-gasoline blending with the 1975 </w:t>
      </w:r>
      <w:r w:rsidR="00527521" w:rsidRPr="00022913">
        <w:rPr>
          <w:rFonts w:cs="Arial"/>
          <w:szCs w:val="24"/>
        </w:rPr>
        <w:t>Proalcool</w:t>
      </w:r>
      <w:r w:rsidRPr="00022913">
        <w:rPr>
          <w:rFonts w:cs="Arial"/>
          <w:szCs w:val="24"/>
        </w:rPr>
        <w:t>.</w:t>
      </w:r>
      <w:r w:rsidR="00435A15" w:rsidRPr="00022913">
        <w:rPr>
          <w:rFonts w:cs="Arial"/>
          <w:szCs w:val="24"/>
        </w:rPr>
        <w:t xml:space="preserve"> </w:t>
      </w:r>
      <w:r w:rsidRPr="00022913">
        <w:rPr>
          <w:rFonts w:cs="Arial"/>
          <w:szCs w:val="24"/>
        </w:rPr>
        <w:t xml:space="preserve">The early years of this program favored </w:t>
      </w:r>
      <w:r w:rsidR="008E7D78" w:rsidRPr="00022913">
        <w:rPr>
          <w:rFonts w:cs="Arial"/>
          <w:szCs w:val="24"/>
        </w:rPr>
        <w:t>neat ethanol (100 percent ethanol)</w:t>
      </w:r>
      <w:r w:rsidRPr="00022913">
        <w:rPr>
          <w:rFonts w:cs="Arial"/>
          <w:szCs w:val="24"/>
        </w:rPr>
        <w:t xml:space="preserve">, but instability in the ethanol supply and declining oil prices led </w:t>
      </w:r>
      <w:r w:rsidR="00B56732" w:rsidRPr="00022913">
        <w:rPr>
          <w:rFonts w:cs="Arial"/>
          <w:szCs w:val="24"/>
        </w:rPr>
        <w:t xml:space="preserve">many </w:t>
      </w:r>
      <w:r w:rsidRPr="00022913">
        <w:rPr>
          <w:rFonts w:cs="Arial"/>
          <w:szCs w:val="24"/>
        </w:rPr>
        <w:t>consumers to return to gasoline-fueled vehicles in the 1990s. As the availability of f</w:t>
      </w:r>
      <w:r w:rsidR="004D674E" w:rsidRPr="00022913">
        <w:rPr>
          <w:rFonts w:cs="Arial"/>
          <w:szCs w:val="24"/>
        </w:rPr>
        <w:t>lex-fuel vehicles has increased</w:t>
      </w:r>
      <w:r w:rsidRPr="00022913">
        <w:rPr>
          <w:rFonts w:cs="Arial"/>
          <w:szCs w:val="24"/>
        </w:rPr>
        <w:t xml:space="preserve"> and their </w:t>
      </w:r>
      <w:r w:rsidR="004D674E" w:rsidRPr="00022913">
        <w:rPr>
          <w:rFonts w:cs="Arial"/>
          <w:szCs w:val="24"/>
        </w:rPr>
        <w:t>prices declined, they</w:t>
      </w:r>
      <w:r w:rsidR="005617A5" w:rsidRPr="00022913">
        <w:rPr>
          <w:rFonts w:cs="Arial"/>
          <w:szCs w:val="24"/>
        </w:rPr>
        <w:t xml:space="preserve"> have </w:t>
      </w:r>
      <w:r w:rsidR="004D674E" w:rsidRPr="00022913">
        <w:rPr>
          <w:rFonts w:cs="Arial"/>
          <w:szCs w:val="24"/>
        </w:rPr>
        <w:t>grow</w:t>
      </w:r>
      <w:r w:rsidR="005617A5" w:rsidRPr="00022913">
        <w:rPr>
          <w:rFonts w:cs="Arial"/>
          <w:szCs w:val="24"/>
        </w:rPr>
        <w:t>n</w:t>
      </w:r>
      <w:r w:rsidR="004D674E" w:rsidRPr="00022913">
        <w:rPr>
          <w:rFonts w:cs="Arial"/>
          <w:szCs w:val="24"/>
        </w:rPr>
        <w:t xml:space="preserve"> </w:t>
      </w:r>
      <w:r w:rsidR="00784957" w:rsidRPr="00022913">
        <w:rPr>
          <w:rFonts w:cs="Arial"/>
          <w:szCs w:val="24"/>
        </w:rPr>
        <w:t xml:space="preserve">from </w:t>
      </w:r>
      <w:r w:rsidR="005617A5" w:rsidRPr="00022913">
        <w:rPr>
          <w:rFonts w:cs="Arial"/>
          <w:szCs w:val="24"/>
        </w:rPr>
        <w:t xml:space="preserve">representing </w:t>
      </w:r>
      <w:r w:rsidR="00EF7F7B" w:rsidRPr="00022913">
        <w:rPr>
          <w:rFonts w:cs="Arial"/>
          <w:szCs w:val="24"/>
        </w:rPr>
        <w:t xml:space="preserve">just </w:t>
      </w:r>
      <w:r w:rsidR="00784957" w:rsidRPr="00022913">
        <w:rPr>
          <w:rFonts w:cs="Arial"/>
          <w:szCs w:val="24"/>
        </w:rPr>
        <w:t>four percent</w:t>
      </w:r>
      <w:r w:rsidRPr="00022913">
        <w:rPr>
          <w:rFonts w:cs="Arial"/>
          <w:szCs w:val="24"/>
        </w:rPr>
        <w:t xml:space="preserve"> of the Brazilian li</w:t>
      </w:r>
      <w:r w:rsidR="00784957" w:rsidRPr="00022913">
        <w:rPr>
          <w:rFonts w:cs="Arial"/>
          <w:szCs w:val="24"/>
        </w:rPr>
        <w:t>ght</w:t>
      </w:r>
      <w:r w:rsidR="004D674E" w:rsidRPr="00022913">
        <w:rPr>
          <w:rFonts w:cs="Arial"/>
          <w:szCs w:val="24"/>
        </w:rPr>
        <w:t>-duty</w:t>
      </w:r>
      <w:r w:rsidR="00784957" w:rsidRPr="00022913">
        <w:rPr>
          <w:rFonts w:cs="Arial"/>
          <w:szCs w:val="24"/>
        </w:rPr>
        <w:t xml:space="preserve"> vehicle </w:t>
      </w:r>
      <w:r w:rsidR="00EF7F7B" w:rsidRPr="00022913">
        <w:rPr>
          <w:rFonts w:cs="Arial"/>
          <w:szCs w:val="24"/>
        </w:rPr>
        <w:t>market</w:t>
      </w:r>
      <w:r w:rsidR="00784957" w:rsidRPr="00022913">
        <w:rPr>
          <w:rFonts w:cs="Arial"/>
          <w:szCs w:val="24"/>
        </w:rPr>
        <w:t xml:space="preserve"> in 2003 to 50 percent</w:t>
      </w:r>
      <w:r w:rsidRPr="00022913">
        <w:rPr>
          <w:rFonts w:cs="Arial"/>
          <w:szCs w:val="24"/>
        </w:rPr>
        <w:t xml:space="preserve"> in 2005</w:t>
      </w:r>
      <w:r w:rsidR="00EF7F7B" w:rsidRPr="00022913">
        <w:rPr>
          <w:rFonts w:cs="Arial"/>
          <w:szCs w:val="24"/>
        </w:rPr>
        <w:t xml:space="preserve"> and 87 percent today</w:t>
      </w:r>
      <w:r w:rsidRPr="00022913">
        <w:rPr>
          <w:rFonts w:cs="Arial"/>
          <w:szCs w:val="24"/>
        </w:rPr>
        <w:t>.</w:t>
      </w:r>
      <w:r w:rsidRPr="00022913">
        <w:rPr>
          <w:rStyle w:val="FootnoteReference"/>
          <w:rFonts w:cs="Arial"/>
          <w:szCs w:val="24"/>
        </w:rPr>
        <w:footnoteReference w:id="83"/>
      </w:r>
      <w:r w:rsidRPr="00022913">
        <w:rPr>
          <w:rFonts w:cs="Arial"/>
          <w:szCs w:val="24"/>
        </w:rPr>
        <w:t xml:space="preserve"> </w:t>
      </w:r>
    </w:p>
    <w:p w:rsidR="00B70B77" w:rsidRPr="00022913" w:rsidRDefault="00B70B77" w:rsidP="00B70B77">
      <w:pPr>
        <w:pStyle w:val="NoSpacing"/>
        <w:spacing w:after="200" w:line="276" w:lineRule="auto"/>
        <w:rPr>
          <w:rFonts w:cs="Arial"/>
          <w:szCs w:val="24"/>
        </w:rPr>
      </w:pPr>
      <w:r w:rsidRPr="00022913">
        <w:rPr>
          <w:rFonts w:cs="Arial"/>
          <w:szCs w:val="24"/>
        </w:rPr>
        <w:t>Data regarding the usage of other types of alternativ</w:t>
      </w:r>
      <w:r w:rsidR="00EF7F7B" w:rsidRPr="00022913">
        <w:rPr>
          <w:rFonts w:cs="Arial"/>
          <w:szCs w:val="24"/>
        </w:rPr>
        <w:t>e fuels, and development of</w:t>
      </w:r>
      <w:r w:rsidRPr="00022913">
        <w:rPr>
          <w:rFonts w:cs="Arial"/>
          <w:szCs w:val="24"/>
        </w:rPr>
        <w:t xml:space="preserve"> </w:t>
      </w:r>
      <w:r w:rsidR="00EF7F7B" w:rsidRPr="00022913">
        <w:rPr>
          <w:rFonts w:cs="Arial"/>
          <w:szCs w:val="24"/>
        </w:rPr>
        <w:t>supporting infrastructure</w:t>
      </w:r>
      <w:r w:rsidRPr="00022913">
        <w:rPr>
          <w:rFonts w:cs="Arial"/>
          <w:szCs w:val="24"/>
        </w:rPr>
        <w:t>, is quite scarce</w:t>
      </w:r>
      <w:r w:rsidR="005617A5" w:rsidRPr="00022913">
        <w:rPr>
          <w:rFonts w:cs="Arial"/>
          <w:szCs w:val="24"/>
        </w:rPr>
        <w:t xml:space="preserve"> in Brazil</w:t>
      </w:r>
      <w:r w:rsidR="00EF7F7B" w:rsidRPr="00022913">
        <w:rPr>
          <w:rFonts w:cs="Arial"/>
          <w:szCs w:val="24"/>
        </w:rPr>
        <w:t>. The Natural &amp; B</w:t>
      </w:r>
      <w:r w:rsidRPr="00022913">
        <w:rPr>
          <w:rFonts w:cs="Arial"/>
          <w:szCs w:val="24"/>
        </w:rPr>
        <w:t xml:space="preserve">io Gas Vehicle Association provides annual estimates of CNG station counts for nearly all countries, worldwide. Their data indicates </w:t>
      </w:r>
      <w:r w:rsidR="005617A5" w:rsidRPr="00022913">
        <w:rPr>
          <w:rFonts w:cs="Arial"/>
          <w:szCs w:val="24"/>
        </w:rPr>
        <w:t xml:space="preserve">that </w:t>
      </w:r>
      <w:r w:rsidRPr="00022913">
        <w:rPr>
          <w:rFonts w:cs="Arial"/>
          <w:szCs w:val="24"/>
        </w:rPr>
        <w:t xml:space="preserve">a total </w:t>
      </w:r>
      <w:r w:rsidR="005617A5" w:rsidRPr="00022913">
        <w:rPr>
          <w:rFonts w:cs="Arial"/>
          <w:szCs w:val="24"/>
        </w:rPr>
        <w:t xml:space="preserve">of </w:t>
      </w:r>
      <w:r w:rsidRPr="00022913">
        <w:rPr>
          <w:rFonts w:cs="Arial"/>
          <w:szCs w:val="24"/>
        </w:rPr>
        <w:t xml:space="preserve">1,790 CNG refueling stations </w:t>
      </w:r>
      <w:r w:rsidR="005617A5" w:rsidRPr="00022913">
        <w:rPr>
          <w:rFonts w:cs="Arial"/>
          <w:szCs w:val="24"/>
        </w:rPr>
        <w:t xml:space="preserve">were </w:t>
      </w:r>
      <w:r w:rsidRPr="00022913">
        <w:rPr>
          <w:rFonts w:cs="Arial"/>
          <w:szCs w:val="24"/>
        </w:rPr>
        <w:t>present in Brazil in 2012.</w:t>
      </w:r>
      <w:r w:rsidRPr="00022913">
        <w:rPr>
          <w:rStyle w:val="FootnoteReference"/>
          <w:rFonts w:cs="Arial"/>
          <w:szCs w:val="24"/>
        </w:rPr>
        <w:t xml:space="preserve"> </w:t>
      </w:r>
      <w:r w:rsidRPr="00022913">
        <w:rPr>
          <w:rStyle w:val="FootnoteReference"/>
          <w:rFonts w:cs="Arial"/>
          <w:szCs w:val="24"/>
        </w:rPr>
        <w:footnoteReference w:id="84"/>
      </w:r>
    </w:p>
    <w:p w:rsidR="00B70B77" w:rsidRPr="00022913" w:rsidRDefault="00416094" w:rsidP="00B70B77">
      <w:pPr>
        <w:pStyle w:val="NoSpacing"/>
        <w:spacing w:after="200" w:line="276" w:lineRule="auto"/>
        <w:rPr>
          <w:rFonts w:cs="Arial"/>
          <w:szCs w:val="24"/>
        </w:rPr>
      </w:pPr>
      <w:r w:rsidRPr="00022913">
        <w:rPr>
          <w:rFonts w:cs="Arial"/>
          <w:szCs w:val="24"/>
        </w:rPr>
        <w:t>E</w:t>
      </w:r>
      <w:r w:rsidR="00B70B77" w:rsidRPr="00022913">
        <w:rPr>
          <w:rFonts w:cs="Arial"/>
          <w:szCs w:val="24"/>
        </w:rPr>
        <w:t xml:space="preserve">stimates of electric vehicle charging stations in Brazil, whether from governments or associations, could </w:t>
      </w:r>
      <w:r w:rsidRPr="00022913">
        <w:rPr>
          <w:rFonts w:cs="Arial"/>
          <w:szCs w:val="24"/>
        </w:rPr>
        <w:t xml:space="preserve">not </w:t>
      </w:r>
      <w:r w:rsidR="00B70B77" w:rsidRPr="00022913">
        <w:rPr>
          <w:rFonts w:cs="Arial"/>
          <w:szCs w:val="24"/>
        </w:rPr>
        <w:t xml:space="preserve">be </w:t>
      </w:r>
      <w:r w:rsidR="005617A5" w:rsidRPr="00022913">
        <w:rPr>
          <w:rFonts w:cs="Arial"/>
          <w:szCs w:val="24"/>
        </w:rPr>
        <w:t>found</w:t>
      </w:r>
      <w:r w:rsidR="00B70B77" w:rsidRPr="00022913">
        <w:rPr>
          <w:rFonts w:cs="Arial"/>
          <w:szCs w:val="24"/>
        </w:rPr>
        <w:t xml:space="preserve">. Further review located a series of news articles from mid-2009, </w:t>
      </w:r>
      <w:r w:rsidR="005617A5" w:rsidRPr="00022913">
        <w:rPr>
          <w:rFonts w:cs="Arial"/>
          <w:szCs w:val="24"/>
        </w:rPr>
        <w:t>address</w:t>
      </w:r>
      <w:r w:rsidR="00B70B77" w:rsidRPr="00022913">
        <w:rPr>
          <w:rFonts w:cs="Arial"/>
          <w:szCs w:val="24"/>
        </w:rPr>
        <w:t>ing the opening of the country’s first EV charging station</w:t>
      </w:r>
      <w:r w:rsidR="00EF7F7B" w:rsidRPr="00022913">
        <w:rPr>
          <w:rFonts w:cs="Arial"/>
          <w:szCs w:val="24"/>
        </w:rPr>
        <w:t>—</w:t>
      </w:r>
      <w:r w:rsidR="00B70B77" w:rsidRPr="00022913">
        <w:rPr>
          <w:rFonts w:cs="Arial"/>
          <w:szCs w:val="24"/>
        </w:rPr>
        <w:t>a</w:t>
      </w:r>
      <w:r w:rsidR="00EF7F7B" w:rsidRPr="00022913">
        <w:rPr>
          <w:rFonts w:cs="Arial"/>
          <w:szCs w:val="24"/>
        </w:rPr>
        <w:t xml:space="preserve"> </w:t>
      </w:r>
      <w:r w:rsidR="00B70B77" w:rsidRPr="00022913">
        <w:rPr>
          <w:rFonts w:cs="Arial"/>
          <w:szCs w:val="24"/>
        </w:rPr>
        <w:t>road-side, solar-powered charge point intended for topping off the batteries of electric motorcycles.</w:t>
      </w:r>
      <w:r w:rsidR="00B70B77" w:rsidRPr="00022913">
        <w:rPr>
          <w:rStyle w:val="FootnoteReference"/>
          <w:rFonts w:cs="Arial"/>
          <w:szCs w:val="24"/>
        </w:rPr>
        <w:footnoteReference w:id="85"/>
      </w:r>
      <w:r w:rsidR="00B70B77" w:rsidRPr="00022913">
        <w:rPr>
          <w:rFonts w:cs="Arial"/>
          <w:szCs w:val="24"/>
        </w:rPr>
        <w:t xml:space="preserve"> </w:t>
      </w:r>
    </w:p>
    <w:p w:rsidR="00B70B77" w:rsidRPr="00022913" w:rsidRDefault="005617A5" w:rsidP="00B70B77">
      <w:pPr>
        <w:pStyle w:val="NoSpacing"/>
        <w:spacing w:after="200" w:line="276" w:lineRule="auto"/>
        <w:rPr>
          <w:rFonts w:cs="Arial"/>
          <w:szCs w:val="24"/>
        </w:rPr>
      </w:pPr>
      <w:r w:rsidRPr="00022913">
        <w:rPr>
          <w:rFonts w:cs="Arial"/>
          <w:szCs w:val="24"/>
        </w:rPr>
        <w:t>T</w:t>
      </w:r>
      <w:r w:rsidR="00B70B77" w:rsidRPr="00022913">
        <w:rPr>
          <w:rFonts w:cs="Arial"/>
          <w:szCs w:val="24"/>
        </w:rPr>
        <w:t xml:space="preserve">he Brazilian government is </w:t>
      </w:r>
      <w:r w:rsidRPr="00022913">
        <w:rPr>
          <w:rFonts w:cs="Arial"/>
          <w:szCs w:val="24"/>
        </w:rPr>
        <w:t xml:space="preserve">currently </w:t>
      </w:r>
      <w:r w:rsidR="00B70B77" w:rsidRPr="00022913">
        <w:rPr>
          <w:rFonts w:cs="Arial"/>
          <w:szCs w:val="24"/>
        </w:rPr>
        <w:t>cons</w:t>
      </w:r>
      <w:r w:rsidR="00B64A66" w:rsidRPr="00022913">
        <w:rPr>
          <w:rFonts w:cs="Arial"/>
          <w:szCs w:val="24"/>
        </w:rPr>
        <w:t>idering a mandate for electric</w:t>
      </w:r>
      <w:r w:rsidR="00B70B77" w:rsidRPr="00022913">
        <w:rPr>
          <w:rFonts w:cs="Arial"/>
          <w:szCs w:val="24"/>
        </w:rPr>
        <w:t xml:space="preserve"> utility companies to install electric vehicle</w:t>
      </w:r>
      <w:r w:rsidR="00416094" w:rsidRPr="00022913">
        <w:rPr>
          <w:rFonts w:cs="Arial"/>
          <w:szCs w:val="24"/>
        </w:rPr>
        <w:t xml:space="preserve"> charging points in urban areas. A mandate could</w:t>
      </w:r>
      <w:r w:rsidR="00B70B77" w:rsidRPr="00022913">
        <w:rPr>
          <w:rFonts w:cs="Arial"/>
          <w:szCs w:val="24"/>
        </w:rPr>
        <w:t xml:space="preserve"> facilitate the</w:t>
      </w:r>
      <w:r w:rsidR="00416094" w:rsidRPr="00022913">
        <w:rPr>
          <w:rFonts w:cs="Arial"/>
          <w:szCs w:val="24"/>
        </w:rPr>
        <w:t xml:space="preserve"> adoption of plug-in vehicles and attract investment </w:t>
      </w:r>
      <w:r w:rsidR="00EF7F7B" w:rsidRPr="00022913">
        <w:rPr>
          <w:rFonts w:cs="Arial"/>
          <w:szCs w:val="24"/>
        </w:rPr>
        <w:t>in</w:t>
      </w:r>
      <w:r w:rsidR="00416094" w:rsidRPr="00022913">
        <w:rPr>
          <w:rFonts w:cs="Arial"/>
          <w:szCs w:val="24"/>
        </w:rPr>
        <w:t xml:space="preserve"> </w:t>
      </w:r>
      <w:r w:rsidR="00EF7F7B" w:rsidRPr="00022913">
        <w:rPr>
          <w:rFonts w:cs="Arial"/>
          <w:szCs w:val="24"/>
        </w:rPr>
        <w:t xml:space="preserve">automotive </w:t>
      </w:r>
      <w:r w:rsidR="00416094" w:rsidRPr="00022913">
        <w:rPr>
          <w:rFonts w:cs="Arial"/>
          <w:szCs w:val="24"/>
        </w:rPr>
        <w:t xml:space="preserve">production facilities to </w:t>
      </w:r>
      <w:r w:rsidR="00EF7F7B" w:rsidRPr="00022913">
        <w:rPr>
          <w:rFonts w:cs="Arial"/>
          <w:szCs w:val="24"/>
        </w:rPr>
        <w:t>build</w:t>
      </w:r>
      <w:r w:rsidR="00416094" w:rsidRPr="00022913">
        <w:rPr>
          <w:rFonts w:cs="Arial"/>
          <w:szCs w:val="24"/>
        </w:rPr>
        <w:t xml:space="preserve"> electric</w:t>
      </w:r>
      <w:r w:rsidR="00B70B77" w:rsidRPr="00022913">
        <w:rPr>
          <w:rFonts w:cs="Arial"/>
          <w:szCs w:val="24"/>
        </w:rPr>
        <w:t xml:space="preserve"> vehicles.</w:t>
      </w:r>
      <w:r w:rsidR="00B70B77" w:rsidRPr="00022913">
        <w:rPr>
          <w:rStyle w:val="FootnoteReference"/>
          <w:rFonts w:cs="Arial"/>
          <w:szCs w:val="24"/>
        </w:rPr>
        <w:footnoteReference w:id="86"/>
      </w:r>
      <w:r w:rsidR="00B70B77" w:rsidRPr="00022913">
        <w:rPr>
          <w:rFonts w:cs="Arial"/>
          <w:szCs w:val="24"/>
        </w:rPr>
        <w:t xml:space="preserve"> </w:t>
      </w:r>
    </w:p>
    <w:p w:rsidR="004847F1" w:rsidRPr="008720F3" w:rsidRDefault="004847F1" w:rsidP="00022913">
      <w:pPr>
        <w:pStyle w:val="Heading2"/>
      </w:pPr>
      <w:bookmarkStart w:id="37" w:name="_Toc352854193"/>
      <w:r w:rsidRPr="008720F3">
        <w:lastRenderedPageBreak/>
        <w:t>China</w:t>
      </w:r>
      <w:bookmarkEnd w:id="37"/>
    </w:p>
    <w:p w:rsidR="00CB086D" w:rsidRPr="00022913" w:rsidRDefault="00D95E4D" w:rsidP="00CB086D">
      <w:pPr>
        <w:pStyle w:val="NoSpacing"/>
        <w:spacing w:after="200" w:line="276" w:lineRule="auto"/>
        <w:rPr>
          <w:rFonts w:cs="Arial"/>
        </w:rPr>
      </w:pPr>
      <w:r w:rsidRPr="00D95E4D">
        <w:rPr>
          <w:rFonts w:cs="Arial"/>
        </w:rPr>
        <w:t>Data on the implementation of alternative, and even conventional, fuels in China is fairly scarce in English-language sources. Available data indicate that China currently has an estimated 1,300 – 2,500 CNG refueling stations and more than a million CNG vehicles in operation.</w:t>
      </w:r>
      <w:r w:rsidRPr="00D95E4D">
        <w:rPr>
          <w:rStyle w:val="FootnoteReference"/>
          <w:rFonts w:cs="Arial"/>
        </w:rPr>
        <w:footnoteReference w:id="87"/>
      </w:r>
      <w:r w:rsidRPr="00D95E4D">
        <w:rPr>
          <w:rFonts w:cs="Arial"/>
        </w:rPr>
        <w:t xml:space="preserve"> No information relating to the use of, and infrastructure for, E85 and diesel fuels could be located. Only limited and outdated English language information regarding gasoline infrastructure could be found. Some sources suggested the total number of gas stations in China was just below 100,000 in 2009.</w:t>
      </w:r>
    </w:p>
    <w:p w:rsidR="00CB086D" w:rsidRPr="00022913" w:rsidRDefault="00CB086D" w:rsidP="00CB086D">
      <w:pPr>
        <w:pStyle w:val="NoSpacing"/>
        <w:spacing w:after="200" w:line="276" w:lineRule="auto"/>
        <w:rPr>
          <w:rFonts w:cs="Arial"/>
        </w:rPr>
      </w:pPr>
      <w:r w:rsidRPr="00022913">
        <w:rPr>
          <w:rFonts w:cs="Arial"/>
        </w:rPr>
        <w:t>In July of 2012, the Chinese central government published goals for BEV, PHEV and hydrogen-fueled vehicle adoption. The Chinese government has targeted production of 500,000 PHEVs and BEVs by 2015, and total production and sales of PHEV, BEV and hydrogen vehicles of 5,000,000 by 2020. The report also indicates that the current count of charging stations throughout the country st</w:t>
      </w:r>
      <w:r w:rsidR="006325B9" w:rsidRPr="00022913">
        <w:rPr>
          <w:rFonts w:cs="Arial"/>
        </w:rPr>
        <w:t>ands</w:t>
      </w:r>
      <w:r w:rsidRPr="00022913">
        <w:rPr>
          <w:rFonts w:cs="Arial"/>
        </w:rPr>
        <w:t xml:space="preserve"> at 168, across 25 cities.</w:t>
      </w:r>
      <w:r w:rsidRPr="00022913">
        <w:rPr>
          <w:rStyle w:val="FootnoteReference"/>
          <w:rFonts w:cs="Arial"/>
        </w:rPr>
        <w:footnoteReference w:id="88"/>
      </w:r>
      <w:r w:rsidRPr="00022913">
        <w:rPr>
          <w:rFonts w:cs="Arial"/>
        </w:rPr>
        <w:t xml:space="preserve"> An older, March 2011, report in the English</w:t>
      </w:r>
      <w:r w:rsidR="00EF7F7B" w:rsidRPr="00022913">
        <w:rPr>
          <w:rFonts w:cs="Arial"/>
        </w:rPr>
        <w:t>-</w:t>
      </w:r>
      <w:r w:rsidRPr="00022913">
        <w:rPr>
          <w:rFonts w:cs="Arial"/>
        </w:rPr>
        <w:t xml:space="preserve">language edition of the Chinese </w:t>
      </w:r>
      <w:r w:rsidRPr="00022913">
        <w:rPr>
          <w:rFonts w:cs="Arial"/>
          <w:i/>
        </w:rPr>
        <w:t xml:space="preserve">People’s Daily </w:t>
      </w:r>
      <w:r w:rsidRPr="00022913">
        <w:rPr>
          <w:rFonts w:cs="Arial"/>
        </w:rPr>
        <w:t>indicates that the 90 charging stations existent at that time hosted a tota</w:t>
      </w:r>
      <w:r w:rsidR="00715731" w:rsidRPr="00022913">
        <w:rPr>
          <w:rFonts w:cs="Arial"/>
        </w:rPr>
        <w:t>l of over 5,200 charging points</w:t>
      </w:r>
      <w:r w:rsidR="00715731" w:rsidRPr="00022913">
        <w:rPr>
          <w:rFonts w:cs="Arial"/>
          <w:szCs w:val="24"/>
        </w:rPr>
        <w:t>—</w:t>
      </w:r>
      <w:r w:rsidRPr="00022913">
        <w:rPr>
          <w:rFonts w:cs="Arial"/>
        </w:rPr>
        <w:t>nearly 58 charging points per station. The article further states that the Five Year Plan covering the 2011 through 2015 period calls for the construction of 2,351 new charging stations, providing an additional 220,000 charging points by 2015.</w:t>
      </w:r>
      <w:r w:rsidRPr="00022913">
        <w:rPr>
          <w:rStyle w:val="FootnoteReference"/>
          <w:rFonts w:cs="Arial"/>
        </w:rPr>
        <w:footnoteReference w:id="89"/>
      </w:r>
    </w:p>
    <w:p w:rsidR="002672A5" w:rsidRPr="00022913" w:rsidRDefault="002672A5" w:rsidP="00CB086D">
      <w:pPr>
        <w:pStyle w:val="NoSpacing"/>
        <w:spacing w:after="200" w:line="276" w:lineRule="auto"/>
        <w:rPr>
          <w:rFonts w:cs="Arial"/>
        </w:rPr>
      </w:pPr>
      <w:r w:rsidRPr="00022913">
        <w:rPr>
          <w:rFonts w:cs="Arial"/>
        </w:rPr>
        <w:t>The cities of Beijing, Guangzhou, Guiyang, and Shanghai have set license plate quotas, limit</w:t>
      </w:r>
      <w:r w:rsidR="006325B9" w:rsidRPr="00022913">
        <w:rPr>
          <w:rFonts w:cs="Arial"/>
        </w:rPr>
        <w:t>ing</w:t>
      </w:r>
      <w:r w:rsidRPr="00022913">
        <w:rPr>
          <w:rFonts w:cs="Arial"/>
        </w:rPr>
        <w:t xml:space="preserve"> the number of new vehicles that could be registered in those cities each year. Guangzhou has dedicated ten percent of its 120,000 license plate quota to AFVs, including all-electric autos, plug-in hybrids</w:t>
      </w:r>
      <w:r w:rsidR="006325B9" w:rsidRPr="00022913">
        <w:rPr>
          <w:rFonts w:cs="Arial"/>
        </w:rPr>
        <w:t>,</w:t>
      </w:r>
      <w:r w:rsidRPr="00022913">
        <w:rPr>
          <w:rFonts w:cs="Arial"/>
        </w:rPr>
        <w:t xml:space="preserve"> and hybrid vehicles.</w:t>
      </w:r>
      <w:r w:rsidRPr="00022913">
        <w:rPr>
          <w:rStyle w:val="FootnoteReference"/>
          <w:rFonts w:cs="Arial"/>
        </w:rPr>
        <w:footnoteReference w:id="90"/>
      </w:r>
      <w:r w:rsidRPr="00022913">
        <w:rPr>
          <w:rFonts w:cs="Arial"/>
        </w:rPr>
        <w:t xml:space="preserve"> Buyers of AFVs </w:t>
      </w:r>
      <w:r w:rsidR="00786B9C" w:rsidRPr="00022913">
        <w:rPr>
          <w:rFonts w:cs="Arial"/>
        </w:rPr>
        <w:t xml:space="preserve">in Guangzhou </w:t>
      </w:r>
      <w:r w:rsidRPr="00022913">
        <w:rPr>
          <w:rFonts w:cs="Arial"/>
        </w:rPr>
        <w:t>will also qualify for 10,000 yuan in subsidies from the government</w:t>
      </w:r>
      <w:r w:rsidR="00786B9C" w:rsidRPr="00022913">
        <w:rPr>
          <w:rFonts w:cs="Arial"/>
        </w:rPr>
        <w:t>. In the first half of 2013, Beijing will announce preferential policies for electric vehicles: electric car buyers will be able to register their vehicles without entering the city license plate lottery and would be eligible for a subsidy of up to 120,000 yuan.</w:t>
      </w:r>
      <w:r w:rsidR="00786B9C" w:rsidRPr="00022913">
        <w:rPr>
          <w:rStyle w:val="FootnoteReference"/>
          <w:rFonts w:cs="Arial"/>
        </w:rPr>
        <w:footnoteReference w:id="91"/>
      </w:r>
    </w:p>
    <w:p w:rsidR="004847F1" w:rsidRPr="008720F3" w:rsidRDefault="005D7041" w:rsidP="00022913">
      <w:pPr>
        <w:pStyle w:val="Heading2"/>
      </w:pPr>
      <w:bookmarkStart w:id="38" w:name="_Toc352854194"/>
      <w:r w:rsidRPr="008720F3">
        <w:t>European Union</w:t>
      </w:r>
      <w:bookmarkEnd w:id="38"/>
    </w:p>
    <w:p w:rsidR="00B70B77" w:rsidRPr="00022913" w:rsidRDefault="006325B9" w:rsidP="00B70B77">
      <w:pPr>
        <w:pStyle w:val="NoSpacing"/>
        <w:spacing w:after="200" w:line="276" w:lineRule="auto"/>
        <w:rPr>
          <w:rFonts w:cs="Arial"/>
          <w:szCs w:val="24"/>
        </w:rPr>
      </w:pPr>
      <w:r w:rsidRPr="00022913">
        <w:rPr>
          <w:rFonts w:cs="Arial"/>
          <w:szCs w:val="24"/>
        </w:rPr>
        <w:t>A</w:t>
      </w:r>
      <w:r w:rsidR="00B64A66" w:rsidRPr="00022913">
        <w:rPr>
          <w:rFonts w:cs="Arial"/>
          <w:szCs w:val="24"/>
        </w:rPr>
        <w:t>pproximately 47,000 alternative</w:t>
      </w:r>
      <w:r w:rsidR="00B70B77" w:rsidRPr="00022913">
        <w:rPr>
          <w:rFonts w:cs="Arial"/>
          <w:szCs w:val="24"/>
        </w:rPr>
        <w:t xml:space="preserve"> fuel stations exist</w:t>
      </w:r>
      <w:r w:rsidRPr="00022913">
        <w:rPr>
          <w:rFonts w:cs="Arial"/>
          <w:szCs w:val="24"/>
        </w:rPr>
        <w:t xml:space="preserve"> across the EU member states</w:t>
      </w:r>
      <w:r w:rsidR="00B70B77" w:rsidRPr="00022913">
        <w:rPr>
          <w:rFonts w:cs="Arial"/>
          <w:szCs w:val="24"/>
        </w:rPr>
        <w:t>.</w:t>
      </w:r>
      <w:r w:rsidR="00B70B77" w:rsidRPr="00022913">
        <w:rPr>
          <w:rStyle w:val="FootnoteReference"/>
          <w:rFonts w:cs="Arial"/>
          <w:szCs w:val="24"/>
        </w:rPr>
        <w:footnoteReference w:id="92"/>
      </w:r>
      <w:r w:rsidR="00B70B77" w:rsidRPr="00022913">
        <w:rPr>
          <w:rFonts w:cs="Arial"/>
          <w:szCs w:val="24"/>
        </w:rPr>
        <w:t xml:space="preserve"> With</w:t>
      </w:r>
      <w:r w:rsidRPr="00022913">
        <w:rPr>
          <w:rFonts w:cs="Arial"/>
          <w:szCs w:val="24"/>
        </w:rPr>
        <w:t xml:space="preserve"> the</w:t>
      </w:r>
      <w:r w:rsidR="00B70B77" w:rsidRPr="00022913">
        <w:rPr>
          <w:rFonts w:cs="Arial"/>
          <w:szCs w:val="24"/>
        </w:rPr>
        <w:t xml:space="preserve"> recent movement towards the development of an official, EU-wide clean fuel distribution strategy, this</w:t>
      </w:r>
      <w:r w:rsidRPr="00022913">
        <w:rPr>
          <w:rFonts w:cs="Arial"/>
          <w:szCs w:val="24"/>
        </w:rPr>
        <w:t xml:space="preserve"> number</w:t>
      </w:r>
      <w:r w:rsidR="00B70B77" w:rsidRPr="00022913">
        <w:rPr>
          <w:rFonts w:cs="Arial"/>
          <w:szCs w:val="24"/>
        </w:rPr>
        <w:t xml:space="preserve"> is likely to increase </w:t>
      </w:r>
      <w:r w:rsidR="007278E0" w:rsidRPr="00022913">
        <w:rPr>
          <w:rFonts w:cs="Arial"/>
          <w:szCs w:val="24"/>
        </w:rPr>
        <w:t>substantially</w:t>
      </w:r>
      <w:r w:rsidR="00B70B77" w:rsidRPr="00022913">
        <w:rPr>
          <w:rFonts w:cs="Arial"/>
          <w:szCs w:val="24"/>
        </w:rPr>
        <w:t xml:space="preserve"> over the course of th</w:t>
      </w:r>
      <w:r w:rsidR="00B64A66" w:rsidRPr="00022913">
        <w:rPr>
          <w:rFonts w:cs="Arial"/>
          <w:szCs w:val="24"/>
        </w:rPr>
        <w:t>is</w:t>
      </w:r>
      <w:r w:rsidR="00B70B77" w:rsidRPr="00022913">
        <w:rPr>
          <w:rFonts w:cs="Arial"/>
          <w:szCs w:val="24"/>
        </w:rPr>
        <w:t xml:space="preserve"> decade. Specific, per-country targets have been </w:t>
      </w:r>
      <w:r w:rsidR="00B70B77" w:rsidRPr="00022913">
        <w:rPr>
          <w:rFonts w:cs="Arial"/>
          <w:szCs w:val="24"/>
        </w:rPr>
        <w:lastRenderedPageBreak/>
        <w:t>set for the number of publicly available electric vehicle charging points, totaling 795,000 across all 27 countries</w:t>
      </w:r>
      <w:r w:rsidR="00B64A66" w:rsidRPr="00022913">
        <w:rPr>
          <w:rFonts w:cs="Arial"/>
          <w:szCs w:val="24"/>
        </w:rPr>
        <w:t xml:space="preserve"> by 2020</w:t>
      </w:r>
      <w:r w:rsidR="00B70B77" w:rsidRPr="00022913">
        <w:rPr>
          <w:rFonts w:cs="Arial"/>
          <w:szCs w:val="24"/>
        </w:rPr>
        <w:t>.</w:t>
      </w:r>
      <w:r w:rsidR="00B70B77" w:rsidRPr="00022913">
        <w:rPr>
          <w:rStyle w:val="FootnoteReference"/>
          <w:rFonts w:cs="Arial"/>
          <w:szCs w:val="24"/>
        </w:rPr>
        <w:footnoteReference w:id="93"/>
      </w:r>
    </w:p>
    <w:p w:rsidR="00B70B77" w:rsidRPr="00022913" w:rsidRDefault="00B70B77" w:rsidP="00B70B77">
      <w:pPr>
        <w:pStyle w:val="NoSpacing"/>
        <w:spacing w:after="200" w:line="276" w:lineRule="auto"/>
        <w:rPr>
          <w:rFonts w:cs="Arial"/>
          <w:szCs w:val="24"/>
        </w:rPr>
      </w:pPr>
      <w:r w:rsidRPr="00022913">
        <w:rPr>
          <w:rFonts w:cs="Arial"/>
          <w:szCs w:val="24"/>
        </w:rPr>
        <w:t xml:space="preserve">These ambitious goals represent a nearly 68 fold increase from the current level of vehicle charging infrastructure. In 2011, a total of 11,749 charging points for battery and </w:t>
      </w:r>
      <w:r w:rsidR="00FF5349" w:rsidRPr="00022913">
        <w:rPr>
          <w:rFonts w:cs="Arial"/>
          <w:szCs w:val="24"/>
        </w:rPr>
        <w:t xml:space="preserve">plug-in </w:t>
      </w:r>
      <w:r w:rsidRPr="00022913">
        <w:rPr>
          <w:rFonts w:cs="Arial"/>
          <w:szCs w:val="24"/>
        </w:rPr>
        <w:t xml:space="preserve">hybrid electric vehicles existed across the European Union member states. The top six </w:t>
      </w:r>
      <w:r w:rsidR="00784957" w:rsidRPr="00022913">
        <w:rPr>
          <w:rFonts w:cs="Arial"/>
          <w:szCs w:val="24"/>
        </w:rPr>
        <w:t>countries contained 9,293 (79.1</w:t>
      </w:r>
      <w:r w:rsidR="00B64A66" w:rsidRPr="00022913">
        <w:rPr>
          <w:rFonts w:cs="Arial"/>
          <w:szCs w:val="24"/>
        </w:rPr>
        <w:t xml:space="preserve"> </w:t>
      </w:r>
      <w:r w:rsidR="00784957" w:rsidRPr="00022913">
        <w:rPr>
          <w:rFonts w:cs="Arial"/>
          <w:szCs w:val="24"/>
        </w:rPr>
        <w:t>percent</w:t>
      </w:r>
      <w:r w:rsidRPr="00022913">
        <w:rPr>
          <w:rFonts w:cs="Arial"/>
          <w:szCs w:val="24"/>
        </w:rPr>
        <w:t>) of these: Germany hosted 1,937 (16.5</w:t>
      </w:r>
      <w:r w:rsidR="00784957" w:rsidRPr="00022913">
        <w:rPr>
          <w:rFonts w:cs="Arial"/>
          <w:szCs w:val="24"/>
        </w:rPr>
        <w:t xml:space="preserve"> percent</w:t>
      </w:r>
      <w:r w:rsidRPr="00022913">
        <w:rPr>
          <w:rFonts w:cs="Arial"/>
          <w:szCs w:val="24"/>
        </w:rPr>
        <w:t>); the Netherlands</w:t>
      </w:r>
      <w:r w:rsidR="006325B9" w:rsidRPr="00022913">
        <w:rPr>
          <w:rFonts w:cs="Arial"/>
          <w:szCs w:val="24"/>
        </w:rPr>
        <w:t>,</w:t>
      </w:r>
      <w:r w:rsidRPr="00022913">
        <w:rPr>
          <w:rFonts w:cs="Arial"/>
          <w:szCs w:val="24"/>
        </w:rPr>
        <w:t xml:space="preserve"> 1,700 (14.5</w:t>
      </w:r>
      <w:r w:rsidR="00784957" w:rsidRPr="00022913">
        <w:rPr>
          <w:rFonts w:cs="Arial"/>
          <w:szCs w:val="24"/>
        </w:rPr>
        <w:t xml:space="preserve"> percent</w:t>
      </w:r>
      <w:r w:rsidRPr="00022913">
        <w:rPr>
          <w:rFonts w:cs="Arial"/>
          <w:szCs w:val="24"/>
        </w:rPr>
        <w:t>); and France</w:t>
      </w:r>
      <w:r w:rsidR="006325B9" w:rsidRPr="00022913">
        <w:rPr>
          <w:rFonts w:cs="Arial"/>
          <w:szCs w:val="24"/>
        </w:rPr>
        <w:t>,</w:t>
      </w:r>
      <w:r w:rsidRPr="00022913">
        <w:rPr>
          <w:rFonts w:cs="Arial"/>
          <w:szCs w:val="24"/>
        </w:rPr>
        <w:t xml:space="preserve"> 1,600 (13.6</w:t>
      </w:r>
      <w:r w:rsidR="00784957" w:rsidRPr="00022913">
        <w:rPr>
          <w:rFonts w:cs="Arial"/>
          <w:szCs w:val="24"/>
        </w:rPr>
        <w:t xml:space="preserve"> percent</w:t>
      </w:r>
      <w:r w:rsidRPr="00022913">
        <w:rPr>
          <w:rFonts w:cs="Arial"/>
          <w:szCs w:val="24"/>
        </w:rPr>
        <w:t>); while Spain, Italy and Portugal each possessed near</w:t>
      </w:r>
      <w:r w:rsidR="006325B9" w:rsidRPr="00022913">
        <w:rPr>
          <w:rFonts w:cs="Arial"/>
          <w:szCs w:val="24"/>
        </w:rPr>
        <w:t>ly</w:t>
      </w:r>
      <w:r w:rsidRPr="00022913">
        <w:rPr>
          <w:rFonts w:cs="Arial"/>
          <w:szCs w:val="24"/>
        </w:rPr>
        <w:t xml:space="preserve"> 1,350 charging points (11.5</w:t>
      </w:r>
      <w:r w:rsidR="00784957" w:rsidRPr="00022913">
        <w:rPr>
          <w:rFonts w:cs="Arial"/>
          <w:szCs w:val="24"/>
        </w:rPr>
        <w:t xml:space="preserve"> percent</w:t>
      </w:r>
      <w:r w:rsidRPr="00022913">
        <w:rPr>
          <w:rFonts w:cs="Arial"/>
          <w:szCs w:val="24"/>
        </w:rPr>
        <w:t>).</w:t>
      </w:r>
      <w:r w:rsidRPr="00022913">
        <w:rPr>
          <w:rStyle w:val="FootnoteReference"/>
          <w:rFonts w:cs="Arial"/>
          <w:szCs w:val="24"/>
        </w:rPr>
        <w:footnoteReference w:id="94"/>
      </w:r>
    </w:p>
    <w:p w:rsidR="00B70B77" w:rsidRPr="00022913" w:rsidRDefault="00B70B77" w:rsidP="00B70B77">
      <w:pPr>
        <w:pStyle w:val="NoSpacing"/>
        <w:spacing w:after="200" w:line="276" w:lineRule="auto"/>
        <w:rPr>
          <w:rFonts w:cs="Arial"/>
          <w:szCs w:val="24"/>
        </w:rPr>
      </w:pPr>
      <w:r w:rsidRPr="00022913">
        <w:rPr>
          <w:rFonts w:cs="Arial"/>
          <w:szCs w:val="24"/>
        </w:rPr>
        <w:t xml:space="preserve">The European Union member states contain 4,084 outlets for E85. These are </w:t>
      </w:r>
      <w:r w:rsidR="00C229FA" w:rsidRPr="00022913">
        <w:rPr>
          <w:rFonts w:cs="Arial"/>
          <w:szCs w:val="24"/>
        </w:rPr>
        <w:t>primarily</w:t>
      </w:r>
      <w:r w:rsidRPr="00022913">
        <w:rPr>
          <w:rFonts w:cs="Arial"/>
          <w:szCs w:val="24"/>
        </w:rPr>
        <w:t xml:space="preserve"> concentrated within </w:t>
      </w:r>
      <w:r w:rsidR="00C229FA" w:rsidRPr="00022913">
        <w:rPr>
          <w:rFonts w:cs="Arial"/>
          <w:szCs w:val="24"/>
        </w:rPr>
        <w:t xml:space="preserve">the </w:t>
      </w:r>
      <w:r w:rsidRPr="00022913">
        <w:rPr>
          <w:rFonts w:cs="Arial"/>
          <w:szCs w:val="24"/>
        </w:rPr>
        <w:t>countries</w:t>
      </w:r>
      <w:r w:rsidR="00C229FA" w:rsidRPr="00022913">
        <w:rPr>
          <w:rFonts w:cs="Arial"/>
          <w:szCs w:val="24"/>
        </w:rPr>
        <w:t xml:space="preserve"> of Sweden and the United Kingdom</w:t>
      </w:r>
      <w:r w:rsidRPr="00022913">
        <w:rPr>
          <w:rFonts w:cs="Arial"/>
          <w:szCs w:val="24"/>
        </w:rPr>
        <w:t xml:space="preserve">, </w:t>
      </w:r>
      <w:r w:rsidR="00C229FA" w:rsidRPr="00022913">
        <w:rPr>
          <w:rFonts w:cs="Arial"/>
          <w:szCs w:val="24"/>
        </w:rPr>
        <w:t xml:space="preserve">which </w:t>
      </w:r>
      <w:r w:rsidR="00727DB5" w:rsidRPr="00022913">
        <w:rPr>
          <w:rFonts w:cs="Arial"/>
          <w:szCs w:val="24"/>
        </w:rPr>
        <w:t>ho</w:t>
      </w:r>
      <w:r w:rsidR="008C16B9" w:rsidRPr="00022913">
        <w:rPr>
          <w:rFonts w:cs="Arial"/>
          <w:szCs w:val="24"/>
        </w:rPr>
        <w:t>st</w:t>
      </w:r>
      <w:r w:rsidR="00727DB5" w:rsidRPr="00022913">
        <w:rPr>
          <w:rFonts w:cs="Arial"/>
          <w:szCs w:val="24"/>
        </w:rPr>
        <w:t xml:space="preserve"> </w:t>
      </w:r>
      <w:r w:rsidR="00C229FA" w:rsidRPr="00022913">
        <w:rPr>
          <w:rFonts w:cs="Arial"/>
          <w:szCs w:val="24"/>
        </w:rPr>
        <w:t>more than 83</w:t>
      </w:r>
      <w:r w:rsidR="00784957" w:rsidRPr="00022913">
        <w:rPr>
          <w:rFonts w:cs="Arial"/>
          <w:szCs w:val="24"/>
        </w:rPr>
        <w:t xml:space="preserve"> percent</w:t>
      </w:r>
      <w:r w:rsidRPr="00022913">
        <w:rPr>
          <w:rFonts w:cs="Arial"/>
          <w:szCs w:val="24"/>
        </w:rPr>
        <w:t xml:space="preserve"> </w:t>
      </w:r>
      <w:r w:rsidR="00C229FA" w:rsidRPr="00022913">
        <w:rPr>
          <w:rFonts w:cs="Arial"/>
          <w:szCs w:val="24"/>
        </w:rPr>
        <w:t>of European E85 stations. The two countries have</w:t>
      </w:r>
      <w:r w:rsidR="00727DB5" w:rsidRPr="00022913">
        <w:rPr>
          <w:rFonts w:cs="Arial"/>
          <w:szCs w:val="24"/>
        </w:rPr>
        <w:t xml:space="preserve"> </w:t>
      </w:r>
      <w:r w:rsidR="00C229FA" w:rsidRPr="00022913">
        <w:rPr>
          <w:rFonts w:cs="Arial"/>
          <w:szCs w:val="24"/>
        </w:rPr>
        <w:t>approximately</w:t>
      </w:r>
      <w:r w:rsidRPr="00022913">
        <w:rPr>
          <w:rFonts w:cs="Arial"/>
          <w:szCs w:val="24"/>
        </w:rPr>
        <w:t xml:space="preserve"> 1,700 E85 stations</w:t>
      </w:r>
      <w:r w:rsidR="00C229FA" w:rsidRPr="00022913">
        <w:rPr>
          <w:rFonts w:cs="Arial"/>
          <w:szCs w:val="24"/>
        </w:rPr>
        <w:t xml:space="preserve"> each</w:t>
      </w:r>
      <w:r w:rsidRPr="00022913">
        <w:rPr>
          <w:rFonts w:cs="Arial"/>
          <w:szCs w:val="24"/>
        </w:rPr>
        <w:t>.</w:t>
      </w:r>
      <w:r w:rsidRPr="00022913">
        <w:rPr>
          <w:rStyle w:val="FootnoteReference"/>
          <w:rFonts w:cs="Arial"/>
          <w:szCs w:val="24"/>
        </w:rPr>
        <w:footnoteReference w:id="95"/>
      </w:r>
      <w:r w:rsidRPr="00022913">
        <w:rPr>
          <w:rFonts w:cs="Arial"/>
          <w:szCs w:val="24"/>
        </w:rPr>
        <w:t xml:space="preserve"> </w:t>
      </w:r>
    </w:p>
    <w:p w:rsidR="00B70B77" w:rsidRPr="00022913" w:rsidRDefault="00B70B77" w:rsidP="00B70B77">
      <w:pPr>
        <w:pStyle w:val="NoSpacing"/>
        <w:spacing w:after="200" w:line="276" w:lineRule="auto"/>
        <w:rPr>
          <w:rFonts w:cs="Arial"/>
          <w:szCs w:val="24"/>
        </w:rPr>
      </w:pPr>
      <w:r w:rsidRPr="00022913">
        <w:rPr>
          <w:rFonts w:cs="Arial"/>
          <w:szCs w:val="24"/>
        </w:rPr>
        <w:t>In 2012, there were 2,860 CNG retail outlets across the European Union. These stations are highly concentrated within two countries: Germany and Italy each account for 31.6</w:t>
      </w:r>
      <w:r w:rsidR="00784957" w:rsidRPr="00022913">
        <w:rPr>
          <w:rFonts w:cs="Arial"/>
          <w:szCs w:val="24"/>
        </w:rPr>
        <w:t xml:space="preserve"> percent</w:t>
      </w:r>
      <w:r w:rsidRPr="00022913">
        <w:rPr>
          <w:rFonts w:cs="Arial"/>
          <w:szCs w:val="24"/>
        </w:rPr>
        <w:t xml:space="preserve"> of the EU total, with 904 and 903 stations respectively. Austria ranks th</w:t>
      </w:r>
      <w:r w:rsidR="003A19B6" w:rsidRPr="00022913">
        <w:rPr>
          <w:rFonts w:cs="Arial"/>
          <w:szCs w:val="24"/>
        </w:rPr>
        <w:t>ird, with 203 stations in total—</w:t>
      </w:r>
      <w:r w:rsidRPr="00022913">
        <w:rPr>
          <w:rFonts w:cs="Arial"/>
          <w:szCs w:val="24"/>
        </w:rPr>
        <w:t>a 7.1</w:t>
      </w:r>
      <w:r w:rsidR="00784957" w:rsidRPr="00022913">
        <w:rPr>
          <w:rFonts w:cs="Arial"/>
          <w:szCs w:val="24"/>
        </w:rPr>
        <w:t xml:space="preserve"> percent</w:t>
      </w:r>
      <w:r w:rsidRPr="00022913">
        <w:rPr>
          <w:rFonts w:cs="Arial"/>
          <w:szCs w:val="24"/>
        </w:rPr>
        <w:t xml:space="preserve"> share.</w:t>
      </w:r>
      <w:r w:rsidRPr="00022913">
        <w:rPr>
          <w:rStyle w:val="FootnoteReference"/>
          <w:rFonts w:cs="Arial"/>
          <w:szCs w:val="24"/>
        </w:rPr>
        <w:footnoteReference w:id="96"/>
      </w:r>
    </w:p>
    <w:p w:rsidR="00B70B77" w:rsidRPr="00022913" w:rsidRDefault="00B70B77" w:rsidP="00B70B77">
      <w:pPr>
        <w:pStyle w:val="NoSpacing"/>
        <w:spacing w:after="200" w:line="276" w:lineRule="auto"/>
        <w:rPr>
          <w:rFonts w:cs="Arial"/>
          <w:szCs w:val="24"/>
        </w:rPr>
      </w:pPr>
      <w:r w:rsidRPr="00022913">
        <w:rPr>
          <w:rFonts w:cs="Arial"/>
          <w:szCs w:val="24"/>
        </w:rPr>
        <w:t>In 2011, Europe contained approximately 131,000 petrol stations.</w:t>
      </w:r>
      <w:r w:rsidRPr="00022913">
        <w:rPr>
          <w:rStyle w:val="FootnoteReference"/>
          <w:rFonts w:cs="Arial"/>
          <w:szCs w:val="24"/>
        </w:rPr>
        <w:footnoteReference w:id="97"/>
      </w:r>
      <w:r w:rsidRPr="00022913">
        <w:rPr>
          <w:rFonts w:cs="Arial"/>
          <w:szCs w:val="24"/>
        </w:rPr>
        <w:t xml:space="preserve"> While information on the share of stations </w:t>
      </w:r>
      <w:r w:rsidR="00C229FA" w:rsidRPr="00022913">
        <w:rPr>
          <w:rFonts w:cs="Arial"/>
          <w:szCs w:val="24"/>
        </w:rPr>
        <w:t>providing</w:t>
      </w:r>
      <w:r w:rsidRPr="00022913">
        <w:rPr>
          <w:rFonts w:cs="Arial"/>
          <w:szCs w:val="24"/>
        </w:rPr>
        <w:t xml:space="preserve"> diesel fuel is unavailable, anecdotal evidence suggests that </w:t>
      </w:r>
      <w:r w:rsidR="00C229FA" w:rsidRPr="00022913">
        <w:rPr>
          <w:rFonts w:cs="Arial"/>
          <w:szCs w:val="24"/>
        </w:rPr>
        <w:t>it</w:t>
      </w:r>
      <w:r w:rsidRPr="00022913">
        <w:rPr>
          <w:rFonts w:cs="Arial"/>
          <w:szCs w:val="24"/>
        </w:rPr>
        <w:t xml:space="preserve"> is available from the vast majority</w:t>
      </w:r>
      <w:r w:rsidR="00C01E4F" w:rsidRPr="00022913">
        <w:rPr>
          <w:rFonts w:cs="Arial"/>
          <w:szCs w:val="24"/>
        </w:rPr>
        <w:t xml:space="preserve"> of them</w:t>
      </w:r>
      <w:r w:rsidR="00727DB5" w:rsidRPr="00022913">
        <w:rPr>
          <w:rFonts w:cs="Arial"/>
          <w:szCs w:val="24"/>
        </w:rPr>
        <w:t>;</w:t>
      </w:r>
      <w:r w:rsidRPr="00022913">
        <w:rPr>
          <w:rFonts w:cs="Arial"/>
          <w:szCs w:val="24"/>
        </w:rPr>
        <w:t xml:space="preserve"> according to the European Petroleum Industry Association, approximately 35</w:t>
      </w:r>
      <w:r w:rsidR="00784957" w:rsidRPr="00022913">
        <w:rPr>
          <w:rFonts w:cs="Arial"/>
          <w:szCs w:val="24"/>
        </w:rPr>
        <w:t xml:space="preserve"> percent</w:t>
      </w:r>
      <w:r w:rsidRPr="00022913">
        <w:rPr>
          <w:rFonts w:cs="Arial"/>
          <w:szCs w:val="24"/>
        </w:rPr>
        <w:t xml:space="preserve"> of the European passenger car fleet was diesel-operated in 2011</w:t>
      </w:r>
      <w:r w:rsidR="00727DB5" w:rsidRPr="00022913">
        <w:rPr>
          <w:rFonts w:cs="Arial"/>
          <w:szCs w:val="24"/>
        </w:rPr>
        <w:t xml:space="preserve">, </w:t>
      </w:r>
      <w:r w:rsidRPr="00022913">
        <w:rPr>
          <w:rFonts w:cs="Arial"/>
          <w:szCs w:val="24"/>
        </w:rPr>
        <w:t>up from 15</w:t>
      </w:r>
      <w:r w:rsidR="00784957" w:rsidRPr="00022913">
        <w:rPr>
          <w:rFonts w:cs="Arial"/>
          <w:szCs w:val="24"/>
        </w:rPr>
        <w:t xml:space="preserve"> percent</w:t>
      </w:r>
      <w:r w:rsidRPr="00022913">
        <w:rPr>
          <w:rFonts w:cs="Arial"/>
          <w:szCs w:val="24"/>
        </w:rPr>
        <w:t xml:space="preserve"> in the mid-1990s.</w:t>
      </w:r>
      <w:r w:rsidRPr="00022913">
        <w:rPr>
          <w:rStyle w:val="FootnoteReference"/>
          <w:rFonts w:cs="Arial"/>
          <w:szCs w:val="24"/>
        </w:rPr>
        <w:footnoteReference w:id="98"/>
      </w:r>
    </w:p>
    <w:p w:rsidR="004847F1" w:rsidRPr="008720F3" w:rsidRDefault="004847F1" w:rsidP="00022913">
      <w:pPr>
        <w:pStyle w:val="Heading2"/>
      </w:pPr>
      <w:bookmarkStart w:id="39" w:name="_Toc352854195"/>
      <w:r w:rsidRPr="008720F3">
        <w:t>United States</w:t>
      </w:r>
      <w:bookmarkEnd w:id="39"/>
    </w:p>
    <w:p w:rsidR="00F402C7" w:rsidRPr="00022913" w:rsidRDefault="00727DB5" w:rsidP="006A3DDB">
      <w:pPr>
        <w:pStyle w:val="NoSpacing"/>
        <w:spacing w:after="200" w:line="276" w:lineRule="auto"/>
        <w:rPr>
          <w:rFonts w:cs="Arial"/>
          <w:szCs w:val="24"/>
        </w:rPr>
      </w:pPr>
      <w:r w:rsidRPr="00022913">
        <w:rPr>
          <w:rFonts w:cs="Arial"/>
          <w:szCs w:val="24"/>
        </w:rPr>
        <w:t>T</w:t>
      </w:r>
      <w:r w:rsidR="006A3DDB" w:rsidRPr="00022913">
        <w:rPr>
          <w:rFonts w:cs="Arial"/>
          <w:szCs w:val="24"/>
        </w:rPr>
        <w:t>he U</w:t>
      </w:r>
      <w:r w:rsidRPr="00022913">
        <w:rPr>
          <w:rFonts w:cs="Arial"/>
          <w:szCs w:val="24"/>
        </w:rPr>
        <w:t xml:space="preserve">nited </w:t>
      </w:r>
      <w:r w:rsidR="006A3DDB" w:rsidRPr="00022913">
        <w:rPr>
          <w:rFonts w:cs="Arial"/>
          <w:szCs w:val="24"/>
        </w:rPr>
        <w:t>S</w:t>
      </w:r>
      <w:r w:rsidRPr="00022913">
        <w:rPr>
          <w:rFonts w:cs="Arial"/>
          <w:szCs w:val="24"/>
        </w:rPr>
        <w:t>tates</w:t>
      </w:r>
      <w:r w:rsidR="00C85370" w:rsidRPr="00022913">
        <w:rPr>
          <w:rFonts w:cs="Arial"/>
          <w:szCs w:val="24"/>
        </w:rPr>
        <w:t xml:space="preserve"> hosts a total of 14,636 locations where </w:t>
      </w:r>
      <w:r w:rsidR="006A3DDB" w:rsidRPr="00022913">
        <w:rPr>
          <w:rFonts w:cs="Arial"/>
          <w:szCs w:val="24"/>
        </w:rPr>
        <w:t xml:space="preserve">alternative fuel </w:t>
      </w:r>
      <w:r w:rsidR="00C85370" w:rsidRPr="00022913">
        <w:rPr>
          <w:rFonts w:cs="Arial"/>
          <w:szCs w:val="24"/>
        </w:rPr>
        <w:t>vehicles can obtain fuel</w:t>
      </w:r>
      <w:r w:rsidR="006A3DDB" w:rsidRPr="00022913">
        <w:rPr>
          <w:rFonts w:cs="Arial"/>
          <w:szCs w:val="24"/>
        </w:rPr>
        <w:t>. Of these</w:t>
      </w:r>
      <w:r w:rsidR="00C85370" w:rsidRPr="00022913">
        <w:rPr>
          <w:rFonts w:cs="Arial"/>
          <w:szCs w:val="24"/>
        </w:rPr>
        <w:t xml:space="preserve"> locations</w:t>
      </w:r>
      <w:r w:rsidR="006A3DDB" w:rsidRPr="00022913">
        <w:rPr>
          <w:rFonts w:cs="Arial"/>
          <w:szCs w:val="24"/>
        </w:rPr>
        <w:t xml:space="preserve">, </w:t>
      </w:r>
      <w:r w:rsidR="00C85370" w:rsidRPr="00022913">
        <w:rPr>
          <w:rFonts w:cs="Arial"/>
          <w:szCs w:val="24"/>
        </w:rPr>
        <w:t xml:space="preserve">CNG is available at </w:t>
      </w:r>
      <w:r w:rsidR="006A3DDB" w:rsidRPr="00022913">
        <w:rPr>
          <w:rFonts w:cs="Arial"/>
          <w:szCs w:val="24"/>
        </w:rPr>
        <w:t>1,197</w:t>
      </w:r>
      <w:r w:rsidR="00C85370" w:rsidRPr="00022913">
        <w:rPr>
          <w:rFonts w:cs="Arial"/>
          <w:szCs w:val="24"/>
        </w:rPr>
        <w:t xml:space="preserve"> stations</w:t>
      </w:r>
      <w:r w:rsidR="00443F7C" w:rsidRPr="00022913">
        <w:rPr>
          <w:rFonts w:cs="Arial"/>
          <w:szCs w:val="24"/>
        </w:rPr>
        <w:t>,</w:t>
      </w:r>
      <w:r w:rsidR="00F402C7" w:rsidRPr="00022913">
        <w:rPr>
          <w:rFonts w:cs="Arial"/>
          <w:szCs w:val="24"/>
        </w:rPr>
        <w:t xml:space="preserve"> </w:t>
      </w:r>
      <w:r w:rsidR="006A3DDB" w:rsidRPr="00022913">
        <w:rPr>
          <w:rFonts w:cs="Arial"/>
          <w:szCs w:val="24"/>
        </w:rPr>
        <w:t>E85 is ava</w:t>
      </w:r>
      <w:r w:rsidR="00F402C7" w:rsidRPr="00022913">
        <w:rPr>
          <w:rFonts w:cs="Arial"/>
          <w:szCs w:val="24"/>
        </w:rPr>
        <w:t>ilable from 2,596</w:t>
      </w:r>
      <w:r w:rsidR="00443F7C" w:rsidRPr="00022913">
        <w:rPr>
          <w:rFonts w:cs="Arial"/>
          <w:szCs w:val="24"/>
        </w:rPr>
        <w:t>, and electricity is available at</w:t>
      </w:r>
      <w:r w:rsidR="001316BB" w:rsidRPr="00022913">
        <w:rPr>
          <w:rFonts w:cs="Arial"/>
          <w:szCs w:val="24"/>
        </w:rPr>
        <w:t xml:space="preserve"> 7,219</w:t>
      </w:r>
      <w:r w:rsidR="00C85370" w:rsidRPr="00022913">
        <w:rPr>
          <w:rFonts w:cs="Arial"/>
          <w:szCs w:val="24"/>
        </w:rPr>
        <w:t>. There are 58 locations where hydrogen is available, but these</w:t>
      </w:r>
      <w:r w:rsidRPr="00022913">
        <w:rPr>
          <w:rFonts w:cs="Arial"/>
          <w:szCs w:val="24"/>
        </w:rPr>
        <w:t xml:space="preserve"> locations</w:t>
      </w:r>
      <w:r w:rsidR="00C85370" w:rsidRPr="00022913">
        <w:rPr>
          <w:rFonts w:cs="Arial"/>
          <w:szCs w:val="24"/>
        </w:rPr>
        <w:t xml:space="preserve"> are often used for government or private test fleets</w:t>
      </w:r>
      <w:r w:rsidRPr="00022913">
        <w:rPr>
          <w:rFonts w:cs="Arial"/>
          <w:szCs w:val="24"/>
        </w:rPr>
        <w:t xml:space="preserve"> and are largely unavailable to the public</w:t>
      </w:r>
      <w:r w:rsidR="00C85370" w:rsidRPr="00022913">
        <w:rPr>
          <w:rFonts w:cs="Arial"/>
          <w:szCs w:val="24"/>
        </w:rPr>
        <w:t>.</w:t>
      </w:r>
      <w:r w:rsidR="00037EF7" w:rsidRPr="00022913">
        <w:rPr>
          <w:rStyle w:val="FootnoteReference"/>
          <w:rFonts w:cs="Arial"/>
          <w:szCs w:val="24"/>
        </w:rPr>
        <w:footnoteReference w:id="99"/>
      </w:r>
      <w:r w:rsidR="00C85370" w:rsidRPr="00022913">
        <w:rPr>
          <w:rFonts w:cs="Arial"/>
          <w:szCs w:val="24"/>
        </w:rPr>
        <w:t xml:space="preserve"> </w:t>
      </w:r>
      <w:r w:rsidR="001316BB" w:rsidRPr="00022913">
        <w:rPr>
          <w:rFonts w:cs="Arial"/>
          <w:szCs w:val="24"/>
        </w:rPr>
        <w:t>There are approximately 160,000 gas stations in the United States, so any individual alternative fuel has only a fraction of the coverage of gasoline.</w:t>
      </w:r>
      <w:r w:rsidR="001316BB" w:rsidRPr="00022913">
        <w:rPr>
          <w:rStyle w:val="FootnoteReference"/>
          <w:rFonts w:cs="Arial"/>
          <w:szCs w:val="24"/>
        </w:rPr>
        <w:footnoteReference w:id="100"/>
      </w:r>
    </w:p>
    <w:p w:rsidR="006A3DDB" w:rsidRPr="00022913" w:rsidRDefault="00F402C7" w:rsidP="00F402C7">
      <w:pPr>
        <w:rPr>
          <w:rFonts w:cs="Arial"/>
          <w:szCs w:val="24"/>
        </w:rPr>
      </w:pPr>
      <w:r w:rsidRPr="00022913">
        <w:rPr>
          <w:rFonts w:cs="Arial"/>
          <w:szCs w:val="24"/>
        </w:rPr>
        <w:t>In the past few years, public charging infrastructure in the United States has</w:t>
      </w:r>
      <w:r w:rsidR="00C01E4F" w:rsidRPr="00022913">
        <w:rPr>
          <w:rFonts w:cs="Arial"/>
          <w:szCs w:val="24"/>
        </w:rPr>
        <w:t xml:space="preserve"> </w:t>
      </w:r>
      <w:r w:rsidRPr="00022913">
        <w:rPr>
          <w:rFonts w:cs="Arial"/>
          <w:szCs w:val="24"/>
        </w:rPr>
        <w:t>expanded</w:t>
      </w:r>
      <w:r w:rsidR="00727DB5" w:rsidRPr="00022913">
        <w:rPr>
          <w:rFonts w:cs="Arial"/>
          <w:szCs w:val="24"/>
        </w:rPr>
        <w:t xml:space="preserve"> rapidly</w:t>
      </w:r>
      <w:r w:rsidRPr="00022913">
        <w:rPr>
          <w:rFonts w:cs="Arial"/>
          <w:szCs w:val="24"/>
        </w:rPr>
        <w:t>. For instance, as of November 2010, the DOE’s Alternative Fueling Station Database contained just over 600 electric recharging locations (including public, private, and planned stations), but by the end of January 2013, the database listed more than 7,000 locations.</w:t>
      </w:r>
      <w:r w:rsidRPr="00022913">
        <w:rPr>
          <w:rStyle w:val="FootnoteReference"/>
          <w:rFonts w:cs="Arial"/>
          <w:szCs w:val="24"/>
        </w:rPr>
        <w:footnoteReference w:id="101"/>
      </w:r>
      <w:r w:rsidRPr="00022913">
        <w:rPr>
          <w:rFonts w:cs="Arial"/>
          <w:szCs w:val="24"/>
        </w:rPr>
        <w:t xml:space="preserve"> </w:t>
      </w:r>
      <w:r w:rsidR="00C85370" w:rsidRPr="00022913">
        <w:rPr>
          <w:rFonts w:cs="Arial"/>
          <w:szCs w:val="24"/>
        </w:rPr>
        <w:t>The</w:t>
      </w:r>
      <w:r w:rsidR="006A3DDB" w:rsidRPr="00022913">
        <w:rPr>
          <w:rFonts w:cs="Arial"/>
          <w:szCs w:val="24"/>
        </w:rPr>
        <w:t xml:space="preserve"> charging stations average 2.2 outlets per</w:t>
      </w:r>
      <w:r w:rsidR="00C85370" w:rsidRPr="00022913">
        <w:rPr>
          <w:rFonts w:cs="Arial"/>
          <w:szCs w:val="24"/>
        </w:rPr>
        <w:t xml:space="preserve"> </w:t>
      </w:r>
      <w:r w:rsidR="00C85370" w:rsidRPr="00022913">
        <w:rPr>
          <w:rFonts w:cs="Arial"/>
          <w:szCs w:val="24"/>
        </w:rPr>
        <w:lastRenderedPageBreak/>
        <w:t>station</w:t>
      </w:r>
      <w:r w:rsidR="006A3DDB" w:rsidRPr="00022913">
        <w:rPr>
          <w:rFonts w:cs="Arial"/>
          <w:szCs w:val="24"/>
        </w:rPr>
        <w:t>, for a total of 15,989 outlets in t</w:t>
      </w:r>
      <w:r w:rsidR="00715731" w:rsidRPr="00022913">
        <w:rPr>
          <w:rFonts w:cs="Arial"/>
          <w:szCs w:val="24"/>
        </w:rPr>
        <w:t>otal. The overwhelming majority—</w:t>
      </w:r>
      <w:r w:rsidR="006A3DDB" w:rsidRPr="00022913">
        <w:rPr>
          <w:rFonts w:cs="Arial"/>
          <w:szCs w:val="24"/>
        </w:rPr>
        <w:t>12,620 outlets</w:t>
      </w:r>
      <w:r w:rsidR="00715731" w:rsidRPr="00022913">
        <w:rPr>
          <w:rFonts w:cs="Arial"/>
          <w:szCs w:val="24"/>
        </w:rPr>
        <w:t>—</w:t>
      </w:r>
      <w:r w:rsidR="006A3DDB" w:rsidRPr="00022913">
        <w:rPr>
          <w:rFonts w:cs="Arial"/>
          <w:szCs w:val="24"/>
        </w:rPr>
        <w:t xml:space="preserve">provide Level 2 charging, while only 231 are </w:t>
      </w:r>
      <w:r w:rsidR="00650A2A" w:rsidRPr="00022913">
        <w:rPr>
          <w:rFonts w:cs="Arial"/>
          <w:szCs w:val="24"/>
        </w:rPr>
        <w:t xml:space="preserve">Level </w:t>
      </w:r>
      <w:r w:rsidR="003B64BF">
        <w:rPr>
          <w:rFonts w:cs="Arial"/>
          <w:szCs w:val="24"/>
        </w:rPr>
        <w:t>2 DC</w:t>
      </w:r>
      <w:r w:rsidR="00650A2A" w:rsidRPr="00022913">
        <w:rPr>
          <w:rFonts w:cs="Arial"/>
          <w:szCs w:val="24"/>
        </w:rPr>
        <w:t xml:space="preserve"> charging</w:t>
      </w:r>
      <w:r w:rsidR="006A3DDB" w:rsidRPr="00022913">
        <w:rPr>
          <w:rFonts w:cs="Arial"/>
          <w:szCs w:val="24"/>
        </w:rPr>
        <w:t>.</w:t>
      </w:r>
      <w:r w:rsidR="006A3DDB" w:rsidRPr="00022913">
        <w:rPr>
          <w:rStyle w:val="FootnoteReference"/>
          <w:rFonts w:cs="Arial"/>
          <w:szCs w:val="24"/>
        </w:rPr>
        <w:footnoteReference w:id="102"/>
      </w:r>
    </w:p>
    <w:p w:rsidR="006A3DDB" w:rsidRPr="00022913" w:rsidRDefault="006A3DDB" w:rsidP="0074421C">
      <w:pPr>
        <w:pStyle w:val="NoSpacing"/>
        <w:spacing w:after="200" w:line="276" w:lineRule="auto"/>
        <w:rPr>
          <w:rFonts w:cs="Arial"/>
          <w:szCs w:val="24"/>
        </w:rPr>
      </w:pPr>
      <w:r w:rsidRPr="00022913">
        <w:rPr>
          <w:rFonts w:cs="Arial"/>
          <w:szCs w:val="24"/>
        </w:rPr>
        <w:t xml:space="preserve">The geographic spread of alternative fuel stations is highly dependent upon the specific fuel type </w:t>
      </w:r>
      <w:r w:rsidR="001D286A" w:rsidRPr="00022913">
        <w:rPr>
          <w:rFonts w:cs="Arial"/>
          <w:szCs w:val="24"/>
        </w:rPr>
        <w:t>examined. Minnesota contains 14 percent</w:t>
      </w:r>
      <w:r w:rsidRPr="00022913">
        <w:rPr>
          <w:rFonts w:cs="Arial"/>
          <w:szCs w:val="24"/>
        </w:rPr>
        <w:t xml:space="preserve"> of the nation’s E85 stations, and the Midwes</w:t>
      </w:r>
      <w:r w:rsidR="001D286A" w:rsidRPr="00022913">
        <w:rPr>
          <w:rFonts w:cs="Arial"/>
          <w:szCs w:val="24"/>
        </w:rPr>
        <w:t>t region as a whole contains 64 percent</w:t>
      </w:r>
      <w:r w:rsidRPr="00022913">
        <w:rPr>
          <w:rFonts w:cs="Arial"/>
          <w:szCs w:val="24"/>
        </w:rPr>
        <w:t>.</w:t>
      </w:r>
      <w:r w:rsidRPr="00022913">
        <w:rPr>
          <w:rStyle w:val="FootnoteReference"/>
          <w:rFonts w:cs="Arial"/>
          <w:szCs w:val="24"/>
        </w:rPr>
        <w:footnoteReference w:id="103"/>
      </w:r>
      <w:r w:rsidRPr="00022913">
        <w:rPr>
          <w:rFonts w:cs="Arial"/>
          <w:szCs w:val="24"/>
        </w:rPr>
        <w:t xml:space="preserve"> </w:t>
      </w:r>
      <w:r w:rsidR="00E87435" w:rsidRPr="00022913">
        <w:rPr>
          <w:rFonts w:cs="Arial"/>
          <w:szCs w:val="24"/>
        </w:rPr>
        <w:t>Table 2</w:t>
      </w:r>
      <w:r w:rsidRPr="00022913">
        <w:rPr>
          <w:rFonts w:cs="Arial"/>
          <w:szCs w:val="24"/>
        </w:rPr>
        <w:t xml:space="preserve"> below summarizes the concentration of stations, by fuel type, at the state level.</w:t>
      </w:r>
      <w:r w:rsidR="00553585">
        <w:rPr>
          <w:rFonts w:cs="Arial"/>
          <w:szCs w:val="24"/>
        </w:rPr>
        <w:t xml:space="preserve"> </w:t>
      </w:r>
      <w:r w:rsidR="00553585" w:rsidRPr="003A7D62">
        <w:rPr>
          <w:rFonts w:cs="Arial"/>
          <w:szCs w:val="24"/>
        </w:rPr>
        <w:t xml:space="preserve">California </w:t>
      </w:r>
      <w:r w:rsidR="00553585">
        <w:rPr>
          <w:rFonts w:cs="Arial"/>
          <w:szCs w:val="24"/>
        </w:rPr>
        <w:t>has</w:t>
      </w:r>
      <w:r w:rsidR="00553585" w:rsidRPr="003A7D62">
        <w:rPr>
          <w:rFonts w:cs="Arial"/>
          <w:szCs w:val="24"/>
        </w:rPr>
        <w:t xml:space="preserve"> highest share of filling stations for four of the seven alternative fuel types, and is within the top three for six types. California is a special case, warranting further examination.</w:t>
      </w:r>
    </w:p>
    <w:p w:rsidR="005F35F9" w:rsidRPr="00022913" w:rsidRDefault="005F35F9" w:rsidP="00984B07">
      <w:pPr>
        <w:pStyle w:val="Caption"/>
        <w:keepNext/>
        <w:spacing w:after="60" w:line="276" w:lineRule="auto"/>
        <w:rPr>
          <w:rFonts w:cs="Arial"/>
          <w:color w:val="auto"/>
          <w:sz w:val="28"/>
          <w:szCs w:val="24"/>
        </w:rPr>
      </w:pPr>
      <w:bookmarkStart w:id="40" w:name="_Toc352249442"/>
      <w:r w:rsidRPr="00022913">
        <w:rPr>
          <w:rFonts w:cs="Arial"/>
          <w:color w:val="auto"/>
          <w:sz w:val="20"/>
        </w:rPr>
        <w:t xml:space="preserve">Table </w:t>
      </w:r>
      <w:r w:rsidRPr="00022913">
        <w:rPr>
          <w:rFonts w:cs="Arial"/>
          <w:color w:val="auto"/>
          <w:sz w:val="20"/>
        </w:rPr>
        <w:fldChar w:fldCharType="begin"/>
      </w:r>
      <w:r w:rsidRPr="00022913">
        <w:rPr>
          <w:rFonts w:cs="Arial"/>
          <w:color w:val="auto"/>
          <w:sz w:val="20"/>
        </w:rPr>
        <w:instrText xml:space="preserve"> SEQ Table \* ARABIC </w:instrText>
      </w:r>
      <w:r w:rsidRPr="00022913">
        <w:rPr>
          <w:rFonts w:cs="Arial"/>
          <w:color w:val="auto"/>
          <w:sz w:val="20"/>
        </w:rPr>
        <w:fldChar w:fldCharType="separate"/>
      </w:r>
      <w:r w:rsidR="00E01A3B">
        <w:rPr>
          <w:rFonts w:cs="Arial"/>
          <w:noProof/>
          <w:color w:val="auto"/>
          <w:sz w:val="20"/>
        </w:rPr>
        <w:t>2</w:t>
      </w:r>
      <w:r w:rsidRPr="00022913">
        <w:rPr>
          <w:rFonts w:cs="Arial"/>
          <w:color w:val="auto"/>
          <w:sz w:val="20"/>
        </w:rPr>
        <w:fldChar w:fldCharType="end"/>
      </w:r>
      <w:r w:rsidRPr="00022913">
        <w:rPr>
          <w:rFonts w:cs="Arial"/>
          <w:color w:val="auto"/>
          <w:sz w:val="20"/>
        </w:rPr>
        <w:t>: State Rankings for AFV Fueling Stations by Fuel Type</w:t>
      </w:r>
      <w:bookmarkEnd w:id="40"/>
      <w:r w:rsidRPr="00022913">
        <w:rPr>
          <w:rFonts w:cs="Arial"/>
          <w:color w:val="auto"/>
          <w:sz w:val="20"/>
        </w:rPr>
        <w:t xml:space="preserve"> </w:t>
      </w:r>
    </w:p>
    <w:tbl>
      <w:tblPr>
        <w:tblW w:w="7081" w:type="dxa"/>
        <w:tblInd w:w="93" w:type="dxa"/>
        <w:tblLook w:val="04A0" w:firstRow="1" w:lastRow="0" w:firstColumn="1" w:lastColumn="0" w:noHBand="0" w:noVBand="1"/>
      </w:tblPr>
      <w:tblGrid>
        <w:gridCol w:w="2147"/>
        <w:gridCol w:w="1728"/>
        <w:gridCol w:w="1666"/>
        <w:gridCol w:w="1540"/>
      </w:tblGrid>
      <w:tr w:rsidR="006A3DDB" w:rsidRPr="003A7D62" w:rsidTr="003A7D62">
        <w:trPr>
          <w:trHeight w:val="320"/>
        </w:trPr>
        <w:tc>
          <w:tcPr>
            <w:tcW w:w="2147" w:type="dxa"/>
            <w:tcBorders>
              <w:top w:val="single" w:sz="4" w:space="0" w:color="auto"/>
              <w:left w:val="single" w:sz="4" w:space="0" w:color="auto"/>
              <w:bottom w:val="single" w:sz="4" w:space="0" w:color="auto"/>
              <w:right w:val="nil"/>
            </w:tcBorders>
            <w:shd w:val="clear" w:color="auto" w:fill="auto"/>
            <w:noWrap/>
            <w:vAlign w:val="center"/>
            <w:hideMark/>
          </w:tcPr>
          <w:p w:rsidR="006A3DDB" w:rsidRPr="003A7D62" w:rsidRDefault="006A3DDB" w:rsidP="0074421C">
            <w:pPr>
              <w:keepNext/>
              <w:spacing w:after="0" w:line="240" w:lineRule="auto"/>
              <w:rPr>
                <w:rFonts w:eastAsia="Times New Roman" w:cs="Arial"/>
                <w:b/>
                <w:bCs/>
                <w:color w:val="000000"/>
                <w:szCs w:val="24"/>
              </w:rPr>
            </w:pPr>
            <w:r w:rsidRPr="003A7D62">
              <w:rPr>
                <w:rFonts w:eastAsia="Times New Roman" w:cs="Arial"/>
                <w:b/>
                <w:bCs/>
                <w:color w:val="000000"/>
                <w:szCs w:val="24"/>
              </w:rPr>
              <w:t>Fuel Type</w:t>
            </w:r>
          </w:p>
        </w:tc>
        <w:tc>
          <w:tcPr>
            <w:tcW w:w="1728" w:type="dxa"/>
            <w:tcBorders>
              <w:top w:val="single" w:sz="4" w:space="0" w:color="auto"/>
              <w:left w:val="nil"/>
              <w:bottom w:val="single" w:sz="4" w:space="0" w:color="auto"/>
              <w:right w:val="nil"/>
            </w:tcBorders>
            <w:shd w:val="clear" w:color="auto" w:fill="auto"/>
            <w:noWrap/>
            <w:vAlign w:val="center"/>
            <w:hideMark/>
          </w:tcPr>
          <w:p w:rsidR="006A3DDB" w:rsidRPr="003A7D62" w:rsidRDefault="006A3DDB" w:rsidP="0074421C">
            <w:pPr>
              <w:keepNext/>
              <w:spacing w:after="0" w:line="240" w:lineRule="auto"/>
              <w:jc w:val="center"/>
              <w:rPr>
                <w:rFonts w:eastAsia="Times New Roman" w:cs="Arial"/>
                <w:b/>
                <w:bCs/>
                <w:color w:val="000000"/>
                <w:szCs w:val="24"/>
              </w:rPr>
            </w:pPr>
            <w:r w:rsidRPr="003A7D62">
              <w:rPr>
                <w:rFonts w:eastAsia="Times New Roman" w:cs="Arial"/>
                <w:b/>
                <w:bCs/>
                <w:color w:val="000000"/>
                <w:szCs w:val="24"/>
              </w:rPr>
              <w:t>1st</w:t>
            </w:r>
          </w:p>
        </w:tc>
        <w:tc>
          <w:tcPr>
            <w:tcW w:w="1666" w:type="dxa"/>
            <w:tcBorders>
              <w:top w:val="single" w:sz="4" w:space="0" w:color="auto"/>
              <w:left w:val="nil"/>
              <w:bottom w:val="single" w:sz="4" w:space="0" w:color="auto"/>
              <w:right w:val="nil"/>
            </w:tcBorders>
            <w:shd w:val="clear" w:color="auto" w:fill="auto"/>
            <w:noWrap/>
            <w:vAlign w:val="center"/>
            <w:hideMark/>
          </w:tcPr>
          <w:p w:rsidR="006A3DDB" w:rsidRPr="003A7D62" w:rsidRDefault="006A3DDB" w:rsidP="0074421C">
            <w:pPr>
              <w:keepNext/>
              <w:spacing w:after="0" w:line="240" w:lineRule="auto"/>
              <w:jc w:val="center"/>
              <w:rPr>
                <w:rFonts w:eastAsia="Times New Roman" w:cs="Arial"/>
                <w:b/>
                <w:bCs/>
                <w:color w:val="000000"/>
                <w:szCs w:val="24"/>
              </w:rPr>
            </w:pPr>
            <w:r w:rsidRPr="003A7D62">
              <w:rPr>
                <w:rFonts w:eastAsia="Times New Roman" w:cs="Arial"/>
                <w:b/>
                <w:bCs/>
                <w:color w:val="000000"/>
                <w:szCs w:val="24"/>
              </w:rPr>
              <w:t>2nd</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6A3DDB" w:rsidRPr="003A7D62" w:rsidRDefault="006A3DDB" w:rsidP="0074421C">
            <w:pPr>
              <w:keepNext/>
              <w:spacing w:after="0" w:line="240" w:lineRule="auto"/>
              <w:jc w:val="center"/>
              <w:rPr>
                <w:rFonts w:eastAsia="Times New Roman" w:cs="Arial"/>
                <w:b/>
                <w:bCs/>
                <w:color w:val="000000"/>
                <w:szCs w:val="24"/>
              </w:rPr>
            </w:pPr>
            <w:r w:rsidRPr="003A7D62">
              <w:rPr>
                <w:rFonts w:eastAsia="Times New Roman" w:cs="Arial"/>
                <w:b/>
                <w:bCs/>
                <w:color w:val="000000"/>
                <w:szCs w:val="24"/>
              </w:rPr>
              <w:t>3rd</w:t>
            </w:r>
          </w:p>
        </w:tc>
      </w:tr>
      <w:tr w:rsidR="006A3DDB" w:rsidRPr="003A7D62" w:rsidTr="003A7D62">
        <w:trPr>
          <w:trHeight w:val="320"/>
        </w:trPr>
        <w:tc>
          <w:tcPr>
            <w:tcW w:w="2147" w:type="dxa"/>
            <w:tcBorders>
              <w:top w:val="single" w:sz="4" w:space="0" w:color="auto"/>
              <w:left w:val="single" w:sz="4" w:space="0" w:color="auto"/>
              <w:bottom w:val="nil"/>
              <w:right w:val="nil"/>
            </w:tcBorders>
            <w:shd w:val="clear" w:color="auto" w:fill="auto"/>
            <w:vAlign w:val="center"/>
            <w:hideMark/>
          </w:tcPr>
          <w:p w:rsidR="006A3DDB" w:rsidRPr="003A7D62" w:rsidRDefault="006A3DDB" w:rsidP="0074421C">
            <w:pPr>
              <w:keepNext/>
              <w:spacing w:after="0" w:line="240" w:lineRule="auto"/>
              <w:rPr>
                <w:rFonts w:eastAsia="Times New Roman" w:cs="Arial"/>
                <w:bCs/>
                <w:color w:val="000000"/>
                <w:szCs w:val="24"/>
              </w:rPr>
            </w:pPr>
            <w:r w:rsidRPr="003A7D62">
              <w:rPr>
                <w:rFonts w:eastAsia="Times New Roman" w:cs="Arial"/>
                <w:bCs/>
                <w:color w:val="000000"/>
                <w:szCs w:val="24"/>
              </w:rPr>
              <w:t>Biodiesel</w:t>
            </w:r>
          </w:p>
        </w:tc>
        <w:tc>
          <w:tcPr>
            <w:tcW w:w="1728" w:type="dxa"/>
            <w:tcBorders>
              <w:top w:val="single" w:sz="4" w:space="0" w:color="auto"/>
              <w:left w:val="nil"/>
              <w:bottom w:val="nil"/>
              <w:right w:val="nil"/>
            </w:tcBorders>
            <w:shd w:val="clear" w:color="auto" w:fill="auto"/>
            <w:noWrap/>
            <w:vAlign w:val="center"/>
            <w:hideMark/>
          </w:tcPr>
          <w:p w:rsidR="006A3DDB" w:rsidRPr="003A7D62" w:rsidRDefault="006A3DDB" w:rsidP="0074421C">
            <w:pPr>
              <w:keepNext/>
              <w:spacing w:after="0" w:line="240" w:lineRule="auto"/>
              <w:jc w:val="center"/>
              <w:rPr>
                <w:rFonts w:eastAsia="Times New Roman" w:cs="Arial"/>
                <w:color w:val="000000"/>
                <w:szCs w:val="24"/>
              </w:rPr>
            </w:pPr>
            <w:r w:rsidRPr="003A7D62">
              <w:rPr>
                <w:rFonts w:eastAsia="Times New Roman" w:cs="Arial"/>
                <w:color w:val="000000"/>
                <w:szCs w:val="24"/>
              </w:rPr>
              <w:t>NC (19%)</w:t>
            </w:r>
          </w:p>
        </w:tc>
        <w:tc>
          <w:tcPr>
            <w:tcW w:w="1666" w:type="dxa"/>
            <w:tcBorders>
              <w:top w:val="single" w:sz="4" w:space="0" w:color="auto"/>
              <w:left w:val="nil"/>
              <w:bottom w:val="nil"/>
              <w:right w:val="nil"/>
            </w:tcBorders>
            <w:shd w:val="clear" w:color="auto" w:fill="auto"/>
            <w:noWrap/>
            <w:vAlign w:val="center"/>
            <w:hideMark/>
          </w:tcPr>
          <w:p w:rsidR="006A3DDB" w:rsidRPr="003A7D62" w:rsidRDefault="006A3DDB" w:rsidP="0074421C">
            <w:pPr>
              <w:keepNext/>
              <w:spacing w:after="0" w:line="240" w:lineRule="auto"/>
              <w:jc w:val="center"/>
              <w:rPr>
                <w:rFonts w:eastAsia="Times New Roman" w:cs="Arial"/>
                <w:color w:val="000000"/>
                <w:szCs w:val="24"/>
              </w:rPr>
            </w:pPr>
            <w:r w:rsidRPr="003A7D62">
              <w:rPr>
                <w:rFonts w:eastAsia="Times New Roman" w:cs="Arial"/>
                <w:color w:val="000000"/>
                <w:szCs w:val="24"/>
              </w:rPr>
              <w:t>CA (11%)</w:t>
            </w:r>
          </w:p>
        </w:tc>
        <w:tc>
          <w:tcPr>
            <w:tcW w:w="1540" w:type="dxa"/>
            <w:tcBorders>
              <w:top w:val="single" w:sz="4" w:space="0" w:color="auto"/>
              <w:left w:val="nil"/>
              <w:bottom w:val="nil"/>
              <w:right w:val="single" w:sz="4" w:space="0" w:color="auto"/>
            </w:tcBorders>
            <w:shd w:val="clear" w:color="auto" w:fill="auto"/>
            <w:noWrap/>
            <w:vAlign w:val="center"/>
            <w:hideMark/>
          </w:tcPr>
          <w:p w:rsidR="006A3DDB" w:rsidRPr="003A7D62" w:rsidRDefault="006A3DDB" w:rsidP="0074421C">
            <w:pPr>
              <w:keepNext/>
              <w:spacing w:after="0" w:line="240" w:lineRule="auto"/>
              <w:jc w:val="center"/>
              <w:rPr>
                <w:rFonts w:eastAsia="Times New Roman" w:cs="Arial"/>
                <w:color w:val="000000"/>
                <w:szCs w:val="24"/>
              </w:rPr>
            </w:pPr>
            <w:r w:rsidRPr="003A7D62">
              <w:rPr>
                <w:rFonts w:eastAsia="Times New Roman" w:cs="Arial"/>
                <w:color w:val="000000"/>
                <w:szCs w:val="24"/>
              </w:rPr>
              <w:t>TN (6%)</w:t>
            </w:r>
          </w:p>
        </w:tc>
      </w:tr>
      <w:tr w:rsidR="006A3DDB" w:rsidRPr="003A7D62" w:rsidTr="006A3DDB">
        <w:trPr>
          <w:trHeight w:val="320"/>
        </w:trPr>
        <w:tc>
          <w:tcPr>
            <w:tcW w:w="2147" w:type="dxa"/>
            <w:tcBorders>
              <w:top w:val="nil"/>
              <w:left w:val="single" w:sz="4" w:space="0" w:color="auto"/>
              <w:bottom w:val="nil"/>
              <w:right w:val="nil"/>
            </w:tcBorders>
            <w:shd w:val="clear" w:color="auto" w:fill="auto"/>
            <w:vAlign w:val="center"/>
            <w:hideMark/>
          </w:tcPr>
          <w:p w:rsidR="006A3DDB" w:rsidRPr="003A7D62" w:rsidRDefault="006A3DDB" w:rsidP="0074421C">
            <w:pPr>
              <w:keepNext/>
              <w:spacing w:after="0" w:line="240" w:lineRule="auto"/>
              <w:rPr>
                <w:rFonts w:eastAsia="Times New Roman" w:cs="Arial"/>
                <w:bCs/>
                <w:color w:val="000000"/>
                <w:szCs w:val="24"/>
              </w:rPr>
            </w:pPr>
            <w:r w:rsidRPr="003A7D62">
              <w:rPr>
                <w:rFonts w:eastAsia="Times New Roman" w:cs="Arial"/>
                <w:bCs/>
                <w:color w:val="000000"/>
                <w:szCs w:val="24"/>
              </w:rPr>
              <w:t>CNG</w:t>
            </w:r>
          </w:p>
        </w:tc>
        <w:tc>
          <w:tcPr>
            <w:tcW w:w="1728" w:type="dxa"/>
            <w:tcBorders>
              <w:top w:val="nil"/>
              <w:left w:val="nil"/>
              <w:bottom w:val="nil"/>
              <w:right w:val="nil"/>
            </w:tcBorders>
            <w:shd w:val="clear" w:color="auto" w:fill="auto"/>
            <w:noWrap/>
            <w:vAlign w:val="center"/>
            <w:hideMark/>
          </w:tcPr>
          <w:p w:rsidR="006A3DDB" w:rsidRPr="003A7D62" w:rsidRDefault="006A3DDB" w:rsidP="0074421C">
            <w:pPr>
              <w:keepNext/>
              <w:spacing w:after="0" w:line="240" w:lineRule="auto"/>
              <w:jc w:val="center"/>
              <w:rPr>
                <w:rFonts w:eastAsia="Times New Roman" w:cs="Arial"/>
                <w:color w:val="000000"/>
                <w:szCs w:val="24"/>
              </w:rPr>
            </w:pPr>
            <w:r w:rsidRPr="003A7D62">
              <w:rPr>
                <w:rFonts w:eastAsia="Times New Roman" w:cs="Arial"/>
                <w:color w:val="000000"/>
                <w:szCs w:val="24"/>
              </w:rPr>
              <w:t>CA (21%)</w:t>
            </w:r>
          </w:p>
        </w:tc>
        <w:tc>
          <w:tcPr>
            <w:tcW w:w="1666" w:type="dxa"/>
            <w:tcBorders>
              <w:top w:val="nil"/>
              <w:left w:val="nil"/>
              <w:bottom w:val="nil"/>
              <w:right w:val="nil"/>
            </w:tcBorders>
            <w:shd w:val="clear" w:color="auto" w:fill="auto"/>
            <w:noWrap/>
            <w:vAlign w:val="center"/>
            <w:hideMark/>
          </w:tcPr>
          <w:p w:rsidR="006A3DDB" w:rsidRPr="003A7D62" w:rsidRDefault="006A3DDB" w:rsidP="0074421C">
            <w:pPr>
              <w:keepNext/>
              <w:spacing w:after="0" w:line="240" w:lineRule="auto"/>
              <w:jc w:val="center"/>
              <w:rPr>
                <w:rFonts w:eastAsia="Times New Roman" w:cs="Arial"/>
                <w:color w:val="000000"/>
                <w:szCs w:val="24"/>
              </w:rPr>
            </w:pPr>
            <w:r w:rsidRPr="003A7D62">
              <w:rPr>
                <w:rFonts w:eastAsia="Times New Roman" w:cs="Arial"/>
                <w:color w:val="000000"/>
                <w:szCs w:val="24"/>
              </w:rPr>
              <w:t>NY (9%)</w:t>
            </w:r>
          </w:p>
        </w:tc>
        <w:tc>
          <w:tcPr>
            <w:tcW w:w="1540" w:type="dxa"/>
            <w:tcBorders>
              <w:top w:val="nil"/>
              <w:left w:val="nil"/>
              <w:bottom w:val="nil"/>
              <w:right w:val="single" w:sz="4" w:space="0" w:color="auto"/>
            </w:tcBorders>
            <w:shd w:val="clear" w:color="auto" w:fill="auto"/>
            <w:noWrap/>
            <w:vAlign w:val="center"/>
            <w:hideMark/>
          </w:tcPr>
          <w:p w:rsidR="006A3DDB" w:rsidRPr="003A7D62" w:rsidRDefault="006A3DDB" w:rsidP="0074421C">
            <w:pPr>
              <w:keepNext/>
              <w:spacing w:after="0" w:line="240" w:lineRule="auto"/>
              <w:jc w:val="center"/>
              <w:rPr>
                <w:rFonts w:eastAsia="Times New Roman" w:cs="Arial"/>
                <w:color w:val="000000"/>
                <w:szCs w:val="24"/>
              </w:rPr>
            </w:pPr>
            <w:r w:rsidRPr="003A7D62">
              <w:rPr>
                <w:rFonts w:eastAsia="Times New Roman" w:cs="Arial"/>
                <w:color w:val="000000"/>
                <w:szCs w:val="24"/>
              </w:rPr>
              <w:t>OK (8%)</w:t>
            </w:r>
          </w:p>
        </w:tc>
      </w:tr>
      <w:tr w:rsidR="006A3DDB" w:rsidRPr="003A7D62" w:rsidTr="006A3DDB">
        <w:trPr>
          <w:trHeight w:val="320"/>
        </w:trPr>
        <w:tc>
          <w:tcPr>
            <w:tcW w:w="2147" w:type="dxa"/>
            <w:tcBorders>
              <w:top w:val="nil"/>
              <w:left w:val="single" w:sz="4" w:space="0" w:color="auto"/>
              <w:bottom w:val="nil"/>
              <w:right w:val="nil"/>
            </w:tcBorders>
            <w:shd w:val="clear" w:color="auto" w:fill="auto"/>
            <w:vAlign w:val="center"/>
            <w:hideMark/>
          </w:tcPr>
          <w:p w:rsidR="006A3DDB" w:rsidRPr="003A7D62" w:rsidRDefault="006A3DDB" w:rsidP="0074421C">
            <w:pPr>
              <w:keepNext/>
              <w:spacing w:after="0" w:line="240" w:lineRule="auto"/>
              <w:rPr>
                <w:rFonts w:eastAsia="Times New Roman" w:cs="Arial"/>
                <w:bCs/>
                <w:color w:val="000000"/>
                <w:szCs w:val="24"/>
              </w:rPr>
            </w:pPr>
            <w:r w:rsidRPr="003A7D62">
              <w:rPr>
                <w:rFonts w:eastAsia="Times New Roman" w:cs="Arial"/>
                <w:bCs/>
                <w:color w:val="000000"/>
                <w:szCs w:val="24"/>
              </w:rPr>
              <w:t>E85</w:t>
            </w:r>
          </w:p>
        </w:tc>
        <w:tc>
          <w:tcPr>
            <w:tcW w:w="1728" w:type="dxa"/>
            <w:tcBorders>
              <w:top w:val="nil"/>
              <w:left w:val="nil"/>
              <w:bottom w:val="nil"/>
              <w:right w:val="nil"/>
            </w:tcBorders>
            <w:shd w:val="clear" w:color="auto" w:fill="auto"/>
            <w:noWrap/>
            <w:vAlign w:val="center"/>
            <w:hideMark/>
          </w:tcPr>
          <w:p w:rsidR="006A3DDB" w:rsidRPr="003A7D62" w:rsidRDefault="006A3DDB" w:rsidP="0074421C">
            <w:pPr>
              <w:keepNext/>
              <w:spacing w:after="0" w:line="240" w:lineRule="auto"/>
              <w:jc w:val="center"/>
              <w:rPr>
                <w:rFonts w:eastAsia="Times New Roman" w:cs="Arial"/>
                <w:color w:val="000000"/>
                <w:szCs w:val="24"/>
              </w:rPr>
            </w:pPr>
            <w:r w:rsidRPr="003A7D62">
              <w:rPr>
                <w:rFonts w:eastAsia="Times New Roman" w:cs="Arial"/>
                <w:color w:val="000000"/>
                <w:szCs w:val="24"/>
              </w:rPr>
              <w:t>MN (14%)</w:t>
            </w:r>
          </w:p>
        </w:tc>
        <w:tc>
          <w:tcPr>
            <w:tcW w:w="1666" w:type="dxa"/>
            <w:tcBorders>
              <w:top w:val="nil"/>
              <w:left w:val="nil"/>
              <w:bottom w:val="nil"/>
              <w:right w:val="nil"/>
            </w:tcBorders>
            <w:shd w:val="clear" w:color="auto" w:fill="auto"/>
            <w:noWrap/>
            <w:vAlign w:val="center"/>
            <w:hideMark/>
          </w:tcPr>
          <w:p w:rsidR="006A3DDB" w:rsidRPr="003A7D62" w:rsidRDefault="006A3DDB" w:rsidP="0074421C">
            <w:pPr>
              <w:keepNext/>
              <w:spacing w:after="0" w:line="240" w:lineRule="auto"/>
              <w:jc w:val="center"/>
              <w:rPr>
                <w:rFonts w:eastAsia="Times New Roman" w:cs="Arial"/>
                <w:color w:val="000000"/>
                <w:szCs w:val="24"/>
              </w:rPr>
            </w:pPr>
            <w:r w:rsidRPr="003A7D62">
              <w:rPr>
                <w:rFonts w:eastAsia="Times New Roman" w:cs="Arial"/>
                <w:color w:val="000000"/>
                <w:szCs w:val="24"/>
              </w:rPr>
              <w:t>IL (8%)</w:t>
            </w:r>
          </w:p>
        </w:tc>
        <w:tc>
          <w:tcPr>
            <w:tcW w:w="1540" w:type="dxa"/>
            <w:tcBorders>
              <w:top w:val="nil"/>
              <w:left w:val="nil"/>
              <w:bottom w:val="nil"/>
              <w:right w:val="single" w:sz="4" w:space="0" w:color="auto"/>
            </w:tcBorders>
            <w:shd w:val="clear" w:color="auto" w:fill="auto"/>
            <w:noWrap/>
            <w:vAlign w:val="center"/>
            <w:hideMark/>
          </w:tcPr>
          <w:p w:rsidR="006A3DDB" w:rsidRPr="003A7D62" w:rsidRDefault="006A3DDB" w:rsidP="0074421C">
            <w:pPr>
              <w:keepNext/>
              <w:spacing w:after="0" w:line="240" w:lineRule="auto"/>
              <w:jc w:val="center"/>
              <w:rPr>
                <w:rFonts w:eastAsia="Times New Roman" w:cs="Arial"/>
                <w:color w:val="000000"/>
                <w:szCs w:val="24"/>
              </w:rPr>
            </w:pPr>
            <w:r w:rsidRPr="003A7D62">
              <w:rPr>
                <w:rFonts w:eastAsia="Times New Roman" w:cs="Arial"/>
                <w:color w:val="000000"/>
                <w:szCs w:val="24"/>
              </w:rPr>
              <w:t>IA (7%)</w:t>
            </w:r>
          </w:p>
        </w:tc>
      </w:tr>
      <w:tr w:rsidR="006A3DDB" w:rsidRPr="003A7D62" w:rsidTr="006A3DDB">
        <w:trPr>
          <w:trHeight w:val="320"/>
        </w:trPr>
        <w:tc>
          <w:tcPr>
            <w:tcW w:w="2147" w:type="dxa"/>
            <w:tcBorders>
              <w:top w:val="nil"/>
              <w:left w:val="single" w:sz="4" w:space="0" w:color="auto"/>
              <w:bottom w:val="nil"/>
              <w:right w:val="nil"/>
            </w:tcBorders>
            <w:shd w:val="clear" w:color="auto" w:fill="auto"/>
            <w:vAlign w:val="center"/>
            <w:hideMark/>
          </w:tcPr>
          <w:p w:rsidR="006A3DDB" w:rsidRPr="003A7D62" w:rsidRDefault="00076E58" w:rsidP="0074421C">
            <w:pPr>
              <w:keepNext/>
              <w:spacing w:after="0" w:line="240" w:lineRule="auto"/>
              <w:rPr>
                <w:rFonts w:eastAsia="Times New Roman" w:cs="Arial"/>
                <w:bCs/>
                <w:color w:val="000000"/>
                <w:szCs w:val="24"/>
              </w:rPr>
            </w:pPr>
            <w:r>
              <w:rPr>
                <w:rFonts w:eastAsia="Times New Roman" w:cs="Arial"/>
                <w:bCs/>
                <w:color w:val="000000"/>
                <w:szCs w:val="24"/>
              </w:rPr>
              <w:t>Electric</w:t>
            </w:r>
          </w:p>
        </w:tc>
        <w:tc>
          <w:tcPr>
            <w:tcW w:w="1728" w:type="dxa"/>
            <w:tcBorders>
              <w:top w:val="nil"/>
              <w:left w:val="nil"/>
              <w:bottom w:val="nil"/>
              <w:right w:val="nil"/>
            </w:tcBorders>
            <w:shd w:val="clear" w:color="auto" w:fill="auto"/>
            <w:noWrap/>
            <w:vAlign w:val="center"/>
            <w:hideMark/>
          </w:tcPr>
          <w:p w:rsidR="006A3DDB" w:rsidRPr="003A7D62" w:rsidRDefault="006A3DDB" w:rsidP="0074421C">
            <w:pPr>
              <w:keepNext/>
              <w:spacing w:after="0" w:line="240" w:lineRule="auto"/>
              <w:jc w:val="center"/>
              <w:rPr>
                <w:rFonts w:eastAsia="Times New Roman" w:cs="Arial"/>
                <w:color w:val="000000"/>
                <w:szCs w:val="24"/>
              </w:rPr>
            </w:pPr>
            <w:r w:rsidRPr="003A7D62">
              <w:rPr>
                <w:rFonts w:eastAsia="Times New Roman" w:cs="Arial"/>
                <w:color w:val="000000"/>
                <w:szCs w:val="24"/>
              </w:rPr>
              <w:t>CA (24%)</w:t>
            </w:r>
          </w:p>
        </w:tc>
        <w:tc>
          <w:tcPr>
            <w:tcW w:w="1666" w:type="dxa"/>
            <w:tcBorders>
              <w:top w:val="nil"/>
              <w:left w:val="nil"/>
              <w:bottom w:val="nil"/>
              <w:right w:val="nil"/>
            </w:tcBorders>
            <w:shd w:val="clear" w:color="auto" w:fill="auto"/>
            <w:noWrap/>
            <w:vAlign w:val="center"/>
            <w:hideMark/>
          </w:tcPr>
          <w:p w:rsidR="006A3DDB" w:rsidRPr="003A7D62" w:rsidRDefault="006A3DDB" w:rsidP="0074421C">
            <w:pPr>
              <w:keepNext/>
              <w:spacing w:after="0" w:line="240" w:lineRule="auto"/>
              <w:jc w:val="center"/>
              <w:rPr>
                <w:rFonts w:eastAsia="Times New Roman" w:cs="Arial"/>
                <w:color w:val="000000"/>
                <w:szCs w:val="24"/>
              </w:rPr>
            </w:pPr>
            <w:r w:rsidRPr="003A7D62">
              <w:rPr>
                <w:rFonts w:eastAsia="Times New Roman" w:cs="Arial"/>
                <w:color w:val="000000"/>
                <w:szCs w:val="24"/>
              </w:rPr>
              <w:t>TX (9%)</w:t>
            </w:r>
          </w:p>
        </w:tc>
        <w:tc>
          <w:tcPr>
            <w:tcW w:w="1540" w:type="dxa"/>
            <w:tcBorders>
              <w:top w:val="nil"/>
              <w:left w:val="nil"/>
              <w:bottom w:val="nil"/>
              <w:right w:val="single" w:sz="4" w:space="0" w:color="auto"/>
            </w:tcBorders>
            <w:shd w:val="clear" w:color="auto" w:fill="auto"/>
            <w:noWrap/>
            <w:vAlign w:val="center"/>
            <w:hideMark/>
          </w:tcPr>
          <w:p w:rsidR="006A3DDB" w:rsidRPr="003A7D62" w:rsidRDefault="006A3DDB" w:rsidP="0074421C">
            <w:pPr>
              <w:keepNext/>
              <w:spacing w:after="0" w:line="240" w:lineRule="auto"/>
              <w:jc w:val="center"/>
              <w:rPr>
                <w:rFonts w:eastAsia="Times New Roman" w:cs="Arial"/>
                <w:color w:val="000000"/>
                <w:szCs w:val="24"/>
              </w:rPr>
            </w:pPr>
            <w:r w:rsidRPr="003A7D62">
              <w:rPr>
                <w:rFonts w:eastAsia="Times New Roman" w:cs="Arial"/>
                <w:color w:val="000000"/>
                <w:szCs w:val="24"/>
              </w:rPr>
              <w:t>WA (7%)</w:t>
            </w:r>
          </w:p>
        </w:tc>
      </w:tr>
      <w:tr w:rsidR="006A3DDB" w:rsidRPr="003A7D62" w:rsidTr="006A3DDB">
        <w:trPr>
          <w:trHeight w:val="320"/>
        </w:trPr>
        <w:tc>
          <w:tcPr>
            <w:tcW w:w="2147" w:type="dxa"/>
            <w:tcBorders>
              <w:top w:val="nil"/>
              <w:left w:val="single" w:sz="4" w:space="0" w:color="auto"/>
              <w:bottom w:val="nil"/>
              <w:right w:val="nil"/>
            </w:tcBorders>
            <w:shd w:val="clear" w:color="auto" w:fill="auto"/>
            <w:vAlign w:val="center"/>
            <w:hideMark/>
          </w:tcPr>
          <w:p w:rsidR="006A3DDB" w:rsidRPr="003A7D62" w:rsidRDefault="006A3DDB" w:rsidP="0074421C">
            <w:pPr>
              <w:keepNext/>
              <w:spacing w:after="0" w:line="240" w:lineRule="auto"/>
              <w:rPr>
                <w:rFonts w:eastAsia="Times New Roman" w:cs="Arial"/>
                <w:bCs/>
                <w:color w:val="000000"/>
                <w:szCs w:val="24"/>
              </w:rPr>
            </w:pPr>
            <w:r w:rsidRPr="003A7D62">
              <w:rPr>
                <w:rFonts w:eastAsia="Times New Roman" w:cs="Arial"/>
                <w:bCs/>
                <w:color w:val="000000"/>
                <w:szCs w:val="24"/>
              </w:rPr>
              <w:t>Hydrogen</w:t>
            </w:r>
          </w:p>
        </w:tc>
        <w:tc>
          <w:tcPr>
            <w:tcW w:w="1728" w:type="dxa"/>
            <w:tcBorders>
              <w:top w:val="nil"/>
              <w:left w:val="nil"/>
              <w:bottom w:val="nil"/>
              <w:right w:val="nil"/>
            </w:tcBorders>
            <w:shd w:val="clear" w:color="auto" w:fill="auto"/>
            <w:noWrap/>
            <w:vAlign w:val="center"/>
            <w:hideMark/>
          </w:tcPr>
          <w:p w:rsidR="006A3DDB" w:rsidRPr="003A7D62" w:rsidRDefault="006A3DDB" w:rsidP="0074421C">
            <w:pPr>
              <w:keepNext/>
              <w:spacing w:after="0" w:line="240" w:lineRule="auto"/>
              <w:jc w:val="center"/>
              <w:rPr>
                <w:rFonts w:eastAsia="Times New Roman" w:cs="Arial"/>
                <w:color w:val="000000"/>
                <w:szCs w:val="24"/>
              </w:rPr>
            </w:pPr>
            <w:r w:rsidRPr="003A7D62">
              <w:rPr>
                <w:rFonts w:eastAsia="Times New Roman" w:cs="Arial"/>
                <w:color w:val="000000"/>
                <w:szCs w:val="24"/>
              </w:rPr>
              <w:t>CA (41%)</w:t>
            </w:r>
          </w:p>
        </w:tc>
        <w:tc>
          <w:tcPr>
            <w:tcW w:w="1666" w:type="dxa"/>
            <w:tcBorders>
              <w:top w:val="nil"/>
              <w:left w:val="nil"/>
              <w:bottom w:val="nil"/>
              <w:right w:val="nil"/>
            </w:tcBorders>
            <w:shd w:val="clear" w:color="auto" w:fill="auto"/>
            <w:noWrap/>
            <w:vAlign w:val="center"/>
            <w:hideMark/>
          </w:tcPr>
          <w:p w:rsidR="006A3DDB" w:rsidRPr="003A7D62" w:rsidRDefault="006A3DDB" w:rsidP="0074421C">
            <w:pPr>
              <w:keepNext/>
              <w:spacing w:after="0" w:line="240" w:lineRule="auto"/>
              <w:jc w:val="center"/>
              <w:rPr>
                <w:rFonts w:eastAsia="Times New Roman" w:cs="Arial"/>
                <w:color w:val="000000"/>
                <w:szCs w:val="24"/>
              </w:rPr>
            </w:pPr>
            <w:r w:rsidRPr="003A7D62">
              <w:rPr>
                <w:rFonts w:eastAsia="Times New Roman" w:cs="Arial"/>
                <w:color w:val="000000"/>
                <w:szCs w:val="24"/>
              </w:rPr>
              <w:t>NY (16%)</w:t>
            </w:r>
          </w:p>
        </w:tc>
        <w:tc>
          <w:tcPr>
            <w:tcW w:w="1540" w:type="dxa"/>
            <w:tcBorders>
              <w:top w:val="nil"/>
              <w:left w:val="nil"/>
              <w:bottom w:val="nil"/>
              <w:right w:val="single" w:sz="4" w:space="0" w:color="auto"/>
            </w:tcBorders>
            <w:shd w:val="clear" w:color="auto" w:fill="auto"/>
            <w:noWrap/>
            <w:vAlign w:val="center"/>
            <w:hideMark/>
          </w:tcPr>
          <w:p w:rsidR="006A3DDB" w:rsidRPr="003A7D62" w:rsidRDefault="006A3DDB" w:rsidP="0074421C">
            <w:pPr>
              <w:keepNext/>
              <w:spacing w:after="0" w:line="240" w:lineRule="auto"/>
              <w:jc w:val="center"/>
              <w:rPr>
                <w:rFonts w:eastAsia="Times New Roman" w:cs="Arial"/>
                <w:color w:val="000000"/>
                <w:szCs w:val="24"/>
              </w:rPr>
            </w:pPr>
            <w:r w:rsidRPr="003A7D62">
              <w:rPr>
                <w:rFonts w:eastAsia="Times New Roman" w:cs="Arial"/>
                <w:color w:val="000000"/>
                <w:szCs w:val="24"/>
              </w:rPr>
              <w:t>MI (7%)</w:t>
            </w:r>
          </w:p>
        </w:tc>
      </w:tr>
      <w:tr w:rsidR="006A3DDB" w:rsidRPr="003A7D62" w:rsidTr="006A3DDB">
        <w:trPr>
          <w:trHeight w:val="320"/>
        </w:trPr>
        <w:tc>
          <w:tcPr>
            <w:tcW w:w="2147" w:type="dxa"/>
            <w:tcBorders>
              <w:top w:val="nil"/>
              <w:left w:val="single" w:sz="4" w:space="0" w:color="auto"/>
              <w:bottom w:val="nil"/>
              <w:right w:val="nil"/>
            </w:tcBorders>
            <w:shd w:val="clear" w:color="auto" w:fill="auto"/>
            <w:vAlign w:val="center"/>
            <w:hideMark/>
          </w:tcPr>
          <w:p w:rsidR="006A3DDB" w:rsidRPr="003A7D62" w:rsidRDefault="006A3DDB" w:rsidP="0074421C">
            <w:pPr>
              <w:keepNext/>
              <w:spacing w:after="0" w:line="240" w:lineRule="auto"/>
              <w:rPr>
                <w:rFonts w:eastAsia="Times New Roman" w:cs="Arial"/>
                <w:bCs/>
                <w:color w:val="000000"/>
                <w:szCs w:val="24"/>
              </w:rPr>
            </w:pPr>
            <w:r w:rsidRPr="003A7D62">
              <w:rPr>
                <w:rFonts w:eastAsia="Times New Roman" w:cs="Arial"/>
                <w:bCs/>
                <w:color w:val="000000"/>
                <w:szCs w:val="24"/>
              </w:rPr>
              <w:t>LNG</w:t>
            </w:r>
          </w:p>
        </w:tc>
        <w:tc>
          <w:tcPr>
            <w:tcW w:w="1728" w:type="dxa"/>
            <w:tcBorders>
              <w:top w:val="nil"/>
              <w:left w:val="nil"/>
              <w:bottom w:val="nil"/>
              <w:right w:val="nil"/>
            </w:tcBorders>
            <w:shd w:val="clear" w:color="auto" w:fill="auto"/>
            <w:noWrap/>
            <w:vAlign w:val="center"/>
            <w:hideMark/>
          </w:tcPr>
          <w:p w:rsidR="006A3DDB" w:rsidRPr="003A7D62" w:rsidRDefault="006A3DDB" w:rsidP="0074421C">
            <w:pPr>
              <w:keepNext/>
              <w:spacing w:after="0" w:line="240" w:lineRule="auto"/>
              <w:jc w:val="center"/>
              <w:rPr>
                <w:rFonts w:eastAsia="Times New Roman" w:cs="Arial"/>
                <w:color w:val="000000"/>
                <w:szCs w:val="24"/>
              </w:rPr>
            </w:pPr>
            <w:r w:rsidRPr="003A7D62">
              <w:rPr>
                <w:rFonts w:eastAsia="Times New Roman" w:cs="Arial"/>
                <w:color w:val="000000"/>
                <w:szCs w:val="24"/>
              </w:rPr>
              <w:t>CA (62%)</w:t>
            </w:r>
          </w:p>
        </w:tc>
        <w:tc>
          <w:tcPr>
            <w:tcW w:w="1666" w:type="dxa"/>
            <w:tcBorders>
              <w:top w:val="nil"/>
              <w:left w:val="nil"/>
              <w:bottom w:val="nil"/>
              <w:right w:val="nil"/>
            </w:tcBorders>
            <w:shd w:val="clear" w:color="auto" w:fill="auto"/>
            <w:noWrap/>
            <w:vAlign w:val="center"/>
            <w:hideMark/>
          </w:tcPr>
          <w:p w:rsidR="006A3DDB" w:rsidRPr="003A7D62" w:rsidRDefault="006A3DDB" w:rsidP="0074421C">
            <w:pPr>
              <w:keepNext/>
              <w:spacing w:after="0" w:line="240" w:lineRule="auto"/>
              <w:jc w:val="center"/>
              <w:rPr>
                <w:rFonts w:eastAsia="Times New Roman" w:cs="Arial"/>
                <w:color w:val="000000"/>
                <w:szCs w:val="24"/>
              </w:rPr>
            </w:pPr>
            <w:r w:rsidRPr="003A7D62">
              <w:rPr>
                <w:rFonts w:eastAsia="Times New Roman" w:cs="Arial"/>
                <w:color w:val="000000"/>
                <w:szCs w:val="24"/>
              </w:rPr>
              <w:t>TX (14%)</w:t>
            </w:r>
          </w:p>
        </w:tc>
        <w:tc>
          <w:tcPr>
            <w:tcW w:w="1540" w:type="dxa"/>
            <w:tcBorders>
              <w:top w:val="nil"/>
              <w:left w:val="nil"/>
              <w:bottom w:val="nil"/>
              <w:right w:val="single" w:sz="4" w:space="0" w:color="auto"/>
            </w:tcBorders>
            <w:shd w:val="clear" w:color="auto" w:fill="auto"/>
            <w:noWrap/>
            <w:vAlign w:val="center"/>
            <w:hideMark/>
          </w:tcPr>
          <w:p w:rsidR="006A3DDB" w:rsidRPr="003A7D62" w:rsidRDefault="006A3DDB" w:rsidP="0074421C">
            <w:pPr>
              <w:keepNext/>
              <w:spacing w:after="0" w:line="240" w:lineRule="auto"/>
              <w:jc w:val="center"/>
              <w:rPr>
                <w:rFonts w:eastAsia="Times New Roman" w:cs="Arial"/>
                <w:color w:val="000000"/>
                <w:szCs w:val="24"/>
              </w:rPr>
            </w:pPr>
            <w:r w:rsidRPr="003A7D62">
              <w:rPr>
                <w:rFonts w:eastAsia="Times New Roman" w:cs="Arial"/>
                <w:color w:val="000000"/>
                <w:szCs w:val="24"/>
              </w:rPr>
              <w:t>AZ (9%)</w:t>
            </w:r>
          </w:p>
        </w:tc>
      </w:tr>
      <w:tr w:rsidR="006A3DDB" w:rsidRPr="003A7D62" w:rsidTr="006A3DDB">
        <w:trPr>
          <w:trHeight w:val="320"/>
        </w:trPr>
        <w:tc>
          <w:tcPr>
            <w:tcW w:w="2147" w:type="dxa"/>
            <w:tcBorders>
              <w:top w:val="nil"/>
              <w:left w:val="single" w:sz="4" w:space="0" w:color="auto"/>
              <w:bottom w:val="nil"/>
              <w:right w:val="nil"/>
            </w:tcBorders>
            <w:shd w:val="clear" w:color="auto" w:fill="auto"/>
            <w:vAlign w:val="center"/>
            <w:hideMark/>
          </w:tcPr>
          <w:p w:rsidR="006A3DDB" w:rsidRPr="003A7D62" w:rsidRDefault="006A3DDB" w:rsidP="0074421C">
            <w:pPr>
              <w:keepNext/>
              <w:spacing w:after="0" w:line="240" w:lineRule="auto"/>
              <w:rPr>
                <w:rFonts w:eastAsia="Times New Roman" w:cs="Arial"/>
                <w:bCs/>
                <w:color w:val="000000"/>
                <w:szCs w:val="24"/>
              </w:rPr>
            </w:pPr>
            <w:r w:rsidRPr="003A7D62">
              <w:rPr>
                <w:rFonts w:eastAsia="Times New Roman" w:cs="Arial"/>
                <w:bCs/>
                <w:color w:val="000000"/>
                <w:szCs w:val="24"/>
              </w:rPr>
              <w:t>LPG</w:t>
            </w:r>
          </w:p>
        </w:tc>
        <w:tc>
          <w:tcPr>
            <w:tcW w:w="1728" w:type="dxa"/>
            <w:tcBorders>
              <w:top w:val="nil"/>
              <w:left w:val="nil"/>
              <w:bottom w:val="nil"/>
              <w:right w:val="nil"/>
            </w:tcBorders>
            <w:shd w:val="clear" w:color="auto" w:fill="auto"/>
            <w:noWrap/>
            <w:vAlign w:val="center"/>
            <w:hideMark/>
          </w:tcPr>
          <w:p w:rsidR="006A3DDB" w:rsidRPr="003A7D62" w:rsidRDefault="006A3DDB" w:rsidP="0074421C">
            <w:pPr>
              <w:keepNext/>
              <w:spacing w:after="0" w:line="240" w:lineRule="auto"/>
              <w:jc w:val="center"/>
              <w:rPr>
                <w:rFonts w:eastAsia="Times New Roman" w:cs="Arial"/>
                <w:color w:val="000000"/>
                <w:szCs w:val="24"/>
              </w:rPr>
            </w:pPr>
            <w:r w:rsidRPr="003A7D62">
              <w:rPr>
                <w:rFonts w:eastAsia="Times New Roman" w:cs="Arial"/>
                <w:color w:val="000000"/>
                <w:szCs w:val="24"/>
              </w:rPr>
              <w:t>TX (17%)</w:t>
            </w:r>
          </w:p>
        </w:tc>
        <w:tc>
          <w:tcPr>
            <w:tcW w:w="1666" w:type="dxa"/>
            <w:tcBorders>
              <w:top w:val="nil"/>
              <w:left w:val="nil"/>
              <w:bottom w:val="nil"/>
              <w:right w:val="nil"/>
            </w:tcBorders>
            <w:shd w:val="clear" w:color="auto" w:fill="auto"/>
            <w:noWrap/>
            <w:vAlign w:val="center"/>
            <w:hideMark/>
          </w:tcPr>
          <w:p w:rsidR="006A3DDB" w:rsidRPr="003A7D62" w:rsidRDefault="006A3DDB" w:rsidP="0074421C">
            <w:pPr>
              <w:keepNext/>
              <w:spacing w:after="0" w:line="240" w:lineRule="auto"/>
              <w:jc w:val="center"/>
              <w:rPr>
                <w:rFonts w:eastAsia="Times New Roman" w:cs="Arial"/>
                <w:color w:val="000000"/>
                <w:szCs w:val="24"/>
              </w:rPr>
            </w:pPr>
            <w:r w:rsidRPr="003A7D62">
              <w:rPr>
                <w:rFonts w:eastAsia="Times New Roman" w:cs="Arial"/>
                <w:color w:val="000000"/>
                <w:szCs w:val="24"/>
              </w:rPr>
              <w:t>CA (8%)</w:t>
            </w:r>
          </w:p>
        </w:tc>
        <w:tc>
          <w:tcPr>
            <w:tcW w:w="1540" w:type="dxa"/>
            <w:tcBorders>
              <w:top w:val="nil"/>
              <w:left w:val="nil"/>
              <w:bottom w:val="nil"/>
              <w:right w:val="single" w:sz="4" w:space="0" w:color="auto"/>
            </w:tcBorders>
            <w:shd w:val="clear" w:color="auto" w:fill="auto"/>
            <w:noWrap/>
            <w:vAlign w:val="center"/>
            <w:hideMark/>
          </w:tcPr>
          <w:p w:rsidR="006A3DDB" w:rsidRPr="003A7D62" w:rsidRDefault="006A3DDB" w:rsidP="0074421C">
            <w:pPr>
              <w:keepNext/>
              <w:spacing w:after="0" w:line="240" w:lineRule="auto"/>
              <w:jc w:val="center"/>
              <w:rPr>
                <w:rFonts w:eastAsia="Times New Roman" w:cs="Arial"/>
                <w:color w:val="000000"/>
                <w:szCs w:val="24"/>
              </w:rPr>
            </w:pPr>
            <w:r w:rsidRPr="003A7D62">
              <w:rPr>
                <w:rFonts w:eastAsia="Times New Roman" w:cs="Arial"/>
                <w:color w:val="000000"/>
                <w:szCs w:val="24"/>
              </w:rPr>
              <w:t>IN (6%)</w:t>
            </w:r>
          </w:p>
        </w:tc>
      </w:tr>
      <w:tr w:rsidR="006A3DDB" w:rsidRPr="003A7D62" w:rsidTr="006A3DDB">
        <w:trPr>
          <w:trHeight w:val="320"/>
        </w:trPr>
        <w:tc>
          <w:tcPr>
            <w:tcW w:w="2147" w:type="dxa"/>
            <w:tcBorders>
              <w:top w:val="nil"/>
              <w:left w:val="single" w:sz="4" w:space="0" w:color="auto"/>
              <w:bottom w:val="single" w:sz="4" w:space="0" w:color="auto"/>
              <w:right w:val="nil"/>
            </w:tcBorders>
            <w:shd w:val="clear" w:color="auto" w:fill="auto"/>
            <w:noWrap/>
            <w:vAlign w:val="center"/>
            <w:hideMark/>
          </w:tcPr>
          <w:p w:rsidR="006A3DDB" w:rsidRPr="003A7D62" w:rsidRDefault="006A3DDB" w:rsidP="0074421C">
            <w:pPr>
              <w:keepNext/>
              <w:spacing w:after="0" w:line="240" w:lineRule="auto"/>
              <w:rPr>
                <w:rFonts w:eastAsia="Times New Roman" w:cs="Arial"/>
                <w:b/>
                <w:bCs/>
                <w:color w:val="000000"/>
                <w:szCs w:val="24"/>
              </w:rPr>
            </w:pPr>
            <w:r w:rsidRPr="003A7D62">
              <w:rPr>
                <w:rFonts w:eastAsia="Times New Roman" w:cs="Arial"/>
                <w:b/>
                <w:bCs/>
                <w:color w:val="000000"/>
                <w:szCs w:val="24"/>
              </w:rPr>
              <w:t>TOTAL</w:t>
            </w:r>
          </w:p>
        </w:tc>
        <w:tc>
          <w:tcPr>
            <w:tcW w:w="1728" w:type="dxa"/>
            <w:tcBorders>
              <w:top w:val="nil"/>
              <w:left w:val="nil"/>
              <w:bottom w:val="single" w:sz="4" w:space="0" w:color="auto"/>
              <w:right w:val="nil"/>
            </w:tcBorders>
            <w:shd w:val="clear" w:color="auto" w:fill="auto"/>
            <w:noWrap/>
            <w:vAlign w:val="center"/>
            <w:hideMark/>
          </w:tcPr>
          <w:p w:rsidR="006A3DDB" w:rsidRPr="003A7D62" w:rsidRDefault="006A3DDB" w:rsidP="0074421C">
            <w:pPr>
              <w:keepNext/>
              <w:spacing w:after="0" w:line="240" w:lineRule="auto"/>
              <w:jc w:val="center"/>
              <w:rPr>
                <w:rFonts w:eastAsia="Times New Roman" w:cs="Arial"/>
                <w:color w:val="000000"/>
                <w:szCs w:val="24"/>
              </w:rPr>
            </w:pPr>
            <w:r w:rsidRPr="003A7D62">
              <w:rPr>
                <w:rFonts w:eastAsia="Times New Roman" w:cs="Arial"/>
                <w:color w:val="000000"/>
                <w:szCs w:val="24"/>
              </w:rPr>
              <w:t>CA (20%)</w:t>
            </w:r>
          </w:p>
        </w:tc>
        <w:tc>
          <w:tcPr>
            <w:tcW w:w="1666" w:type="dxa"/>
            <w:tcBorders>
              <w:top w:val="nil"/>
              <w:left w:val="nil"/>
              <w:bottom w:val="single" w:sz="4" w:space="0" w:color="auto"/>
              <w:right w:val="nil"/>
            </w:tcBorders>
            <w:shd w:val="clear" w:color="auto" w:fill="auto"/>
            <w:noWrap/>
            <w:vAlign w:val="center"/>
            <w:hideMark/>
          </w:tcPr>
          <w:p w:rsidR="006A3DDB" w:rsidRPr="003A7D62" w:rsidRDefault="006A3DDB" w:rsidP="0074421C">
            <w:pPr>
              <w:keepNext/>
              <w:spacing w:after="0" w:line="240" w:lineRule="auto"/>
              <w:jc w:val="center"/>
              <w:rPr>
                <w:rFonts w:eastAsia="Times New Roman" w:cs="Arial"/>
                <w:color w:val="000000"/>
                <w:szCs w:val="24"/>
              </w:rPr>
            </w:pPr>
            <w:r w:rsidRPr="003A7D62">
              <w:rPr>
                <w:rFonts w:eastAsia="Times New Roman" w:cs="Arial"/>
                <w:color w:val="000000"/>
                <w:szCs w:val="24"/>
              </w:rPr>
              <w:t>TX (9%)</w:t>
            </w:r>
          </w:p>
        </w:tc>
        <w:tc>
          <w:tcPr>
            <w:tcW w:w="1540" w:type="dxa"/>
            <w:tcBorders>
              <w:top w:val="nil"/>
              <w:left w:val="nil"/>
              <w:bottom w:val="single" w:sz="4" w:space="0" w:color="auto"/>
              <w:right w:val="single" w:sz="4" w:space="0" w:color="auto"/>
            </w:tcBorders>
            <w:shd w:val="clear" w:color="auto" w:fill="auto"/>
            <w:noWrap/>
            <w:vAlign w:val="center"/>
            <w:hideMark/>
          </w:tcPr>
          <w:p w:rsidR="006A3DDB" w:rsidRPr="003A7D62" w:rsidRDefault="006A3DDB" w:rsidP="0074421C">
            <w:pPr>
              <w:keepNext/>
              <w:spacing w:after="0" w:line="240" w:lineRule="auto"/>
              <w:jc w:val="center"/>
              <w:rPr>
                <w:rFonts w:eastAsia="Times New Roman" w:cs="Arial"/>
                <w:color w:val="000000"/>
                <w:szCs w:val="24"/>
              </w:rPr>
            </w:pPr>
            <w:r w:rsidRPr="003A7D62">
              <w:rPr>
                <w:rFonts w:eastAsia="Times New Roman" w:cs="Arial"/>
                <w:color w:val="000000"/>
                <w:szCs w:val="24"/>
              </w:rPr>
              <w:t>WA (6%)</w:t>
            </w:r>
          </w:p>
        </w:tc>
      </w:tr>
    </w:tbl>
    <w:p w:rsidR="00797100" w:rsidRPr="001F4DED" w:rsidRDefault="00797100" w:rsidP="001F4DED">
      <w:pPr>
        <w:pStyle w:val="NoSpacing"/>
        <w:rPr>
          <w:rFonts w:cs="Arial"/>
          <w:sz w:val="18"/>
          <w:szCs w:val="24"/>
        </w:rPr>
      </w:pPr>
      <w:r w:rsidRPr="001F4DED">
        <w:rPr>
          <w:rFonts w:cs="Arial"/>
          <w:sz w:val="18"/>
          <w:szCs w:val="24"/>
        </w:rPr>
        <w:t>Note: Rankings are based on each state’s share of AFV fueling stations for each type of fuel. For example, of all biodiesel stations in the United States, 19% are in NC, 11% are in CA, and 6% are in TN.</w:t>
      </w:r>
    </w:p>
    <w:p w:rsidR="006A3DDB" w:rsidRPr="008720F3" w:rsidRDefault="006A3DDB" w:rsidP="006A3DDB">
      <w:pPr>
        <w:pStyle w:val="NoSpacing"/>
        <w:spacing w:after="200" w:line="276" w:lineRule="auto"/>
        <w:rPr>
          <w:rFonts w:cs="Arial"/>
          <w:b/>
          <w:i/>
          <w:sz w:val="20"/>
          <w:szCs w:val="24"/>
        </w:rPr>
      </w:pPr>
      <w:r w:rsidRPr="008720F3">
        <w:rPr>
          <w:rFonts w:cs="Arial"/>
          <w:i/>
          <w:sz w:val="20"/>
          <w:szCs w:val="24"/>
        </w:rPr>
        <w:t xml:space="preserve">Source: </w:t>
      </w:r>
      <w:r w:rsidR="005F35F9" w:rsidRPr="008720F3">
        <w:rPr>
          <w:rFonts w:cs="Arial"/>
          <w:i/>
          <w:sz w:val="20"/>
          <w:szCs w:val="24"/>
        </w:rPr>
        <w:t>EERE 2013</w:t>
      </w:r>
    </w:p>
    <w:p w:rsidR="009D132B" w:rsidRPr="008720F3" w:rsidRDefault="00F402C7" w:rsidP="003A7D62">
      <w:pPr>
        <w:pStyle w:val="Heading3"/>
      </w:pPr>
      <w:bookmarkStart w:id="41" w:name="_Toc352854196"/>
      <w:r w:rsidRPr="008720F3">
        <w:t>AFV Policies</w:t>
      </w:r>
      <w:bookmarkEnd w:id="41"/>
    </w:p>
    <w:p w:rsidR="009D132B" w:rsidRPr="003A7D62" w:rsidRDefault="00971AD1" w:rsidP="00E4264C">
      <w:pPr>
        <w:rPr>
          <w:rFonts w:cs="Arial"/>
          <w:szCs w:val="24"/>
        </w:rPr>
      </w:pPr>
      <w:r w:rsidRPr="003A7D62">
        <w:rPr>
          <w:rFonts w:cs="Arial"/>
          <w:szCs w:val="24"/>
        </w:rPr>
        <w:t>In President Barack Obama’s 2013 State of the Union message, he proposed the creation of an “Energy Security Trust” to fund work on alternative fuels for transportation. The trust would be financed using royalties received by the federal government from oil and gas companies drill</w:t>
      </w:r>
      <w:r w:rsidR="00727DB5" w:rsidRPr="003A7D62">
        <w:rPr>
          <w:rFonts w:cs="Arial"/>
          <w:szCs w:val="24"/>
        </w:rPr>
        <w:t>ing</w:t>
      </w:r>
      <w:r w:rsidRPr="003A7D62">
        <w:rPr>
          <w:rFonts w:cs="Arial"/>
          <w:szCs w:val="24"/>
        </w:rPr>
        <w:t xml:space="preserve"> on federal land.</w:t>
      </w:r>
      <w:r w:rsidRPr="003A7D62">
        <w:rPr>
          <w:rStyle w:val="FootnoteReference"/>
          <w:rFonts w:cs="Arial"/>
          <w:szCs w:val="24"/>
        </w:rPr>
        <w:footnoteReference w:id="104"/>
      </w:r>
    </w:p>
    <w:p w:rsidR="00F402C7" w:rsidRPr="003A7D62" w:rsidRDefault="00466FA2" w:rsidP="00E4264C">
      <w:pPr>
        <w:rPr>
          <w:rFonts w:cs="Arial"/>
          <w:szCs w:val="24"/>
        </w:rPr>
      </w:pPr>
      <w:r w:rsidRPr="003A7D62">
        <w:rPr>
          <w:rFonts w:cs="Arial"/>
          <w:szCs w:val="24"/>
        </w:rPr>
        <w:t>The Energy Policy Act of 2005 established the federal Renewable Fuels Standard (RFS) which required the blending of biofuels with conventional transportation fuels and set quantity targets for the time period from 2006 to 2012. The</w:t>
      </w:r>
      <w:r w:rsidR="00813031" w:rsidRPr="003A7D62">
        <w:rPr>
          <w:rFonts w:cs="Arial"/>
          <w:szCs w:val="24"/>
        </w:rPr>
        <w:t xml:space="preserve"> Energy</w:t>
      </w:r>
      <w:r w:rsidRPr="003A7D62">
        <w:rPr>
          <w:rFonts w:cs="Arial"/>
          <w:szCs w:val="24"/>
        </w:rPr>
        <w:t xml:space="preserve"> Independence and Security Act</w:t>
      </w:r>
      <w:r w:rsidR="00813031" w:rsidRPr="003A7D62">
        <w:rPr>
          <w:rFonts w:cs="Arial"/>
          <w:szCs w:val="24"/>
        </w:rPr>
        <w:t xml:space="preserve"> of 200</w:t>
      </w:r>
      <w:r w:rsidR="00C01E4F" w:rsidRPr="003A7D62">
        <w:rPr>
          <w:rFonts w:cs="Arial"/>
          <w:szCs w:val="24"/>
        </w:rPr>
        <w:t xml:space="preserve">7, </w:t>
      </w:r>
      <w:r w:rsidRPr="003A7D62">
        <w:rPr>
          <w:rFonts w:cs="Arial"/>
          <w:szCs w:val="24"/>
        </w:rPr>
        <w:t xml:space="preserve">amended the RFS, increasing these targets and extending them through 2022. </w:t>
      </w:r>
      <w:r w:rsidR="00F402C7" w:rsidRPr="003A7D62">
        <w:rPr>
          <w:rFonts w:cs="Arial"/>
          <w:szCs w:val="24"/>
        </w:rPr>
        <w:t>Th</w:t>
      </w:r>
      <w:r w:rsidR="00FE6714" w:rsidRPr="003A7D62">
        <w:rPr>
          <w:rFonts w:cs="Arial"/>
          <w:szCs w:val="24"/>
        </w:rPr>
        <w:t>e</w:t>
      </w:r>
      <w:r w:rsidRPr="003A7D62">
        <w:rPr>
          <w:rFonts w:cs="Arial"/>
          <w:szCs w:val="24"/>
        </w:rPr>
        <w:t xml:space="preserve"> targets</w:t>
      </w:r>
      <w:r w:rsidR="00FE6714" w:rsidRPr="003A7D62">
        <w:rPr>
          <w:rFonts w:cs="Arial"/>
          <w:szCs w:val="24"/>
        </w:rPr>
        <w:t xml:space="preserve"> require the</w:t>
      </w:r>
      <w:r w:rsidR="00813031" w:rsidRPr="003A7D62">
        <w:rPr>
          <w:rFonts w:cs="Arial"/>
          <w:szCs w:val="24"/>
        </w:rPr>
        <w:t xml:space="preserve"> </w:t>
      </w:r>
      <w:r w:rsidRPr="003A7D62">
        <w:rPr>
          <w:rFonts w:cs="Arial"/>
          <w:szCs w:val="24"/>
        </w:rPr>
        <w:t>blend</w:t>
      </w:r>
      <w:r w:rsidR="00FE6714" w:rsidRPr="003A7D62">
        <w:rPr>
          <w:rFonts w:cs="Arial"/>
          <w:szCs w:val="24"/>
        </w:rPr>
        <w:t>ing of</w:t>
      </w:r>
      <w:r w:rsidRPr="003A7D62">
        <w:rPr>
          <w:rFonts w:cs="Arial"/>
          <w:szCs w:val="24"/>
        </w:rPr>
        <w:t xml:space="preserve"> 36 billion gallons of renewable fuel into transportation fuel by 2022.</w:t>
      </w:r>
      <w:r w:rsidR="007E0D18" w:rsidRPr="003A7D62">
        <w:rPr>
          <w:rStyle w:val="FootnoteReference"/>
          <w:rFonts w:cs="Arial"/>
          <w:szCs w:val="24"/>
        </w:rPr>
        <w:footnoteReference w:id="105"/>
      </w:r>
      <w:r w:rsidR="00EF56FE" w:rsidRPr="003A7D62">
        <w:rPr>
          <w:rFonts w:cs="Arial"/>
          <w:szCs w:val="24"/>
        </w:rPr>
        <w:t xml:space="preserve"> </w:t>
      </w:r>
      <w:r w:rsidR="00BE492B" w:rsidRPr="003A7D62">
        <w:rPr>
          <w:rFonts w:cs="Arial"/>
          <w:szCs w:val="24"/>
        </w:rPr>
        <w:t>As a point of reference, current annual consumption of petroleum-based fuels in the United States is approximately 139 billion gallons of gasoline and 51 billion gallons of diesel.</w:t>
      </w:r>
      <w:r w:rsidR="00BE492B" w:rsidRPr="003A7D62">
        <w:rPr>
          <w:rStyle w:val="FootnoteReference"/>
          <w:rFonts w:cs="Arial"/>
          <w:szCs w:val="24"/>
        </w:rPr>
        <w:footnoteReference w:id="106"/>
      </w:r>
    </w:p>
    <w:p w:rsidR="00F402C7" w:rsidRPr="003A7D62" w:rsidRDefault="00F70DCC" w:rsidP="00E4264C">
      <w:pPr>
        <w:rPr>
          <w:rFonts w:cs="Arial"/>
          <w:szCs w:val="24"/>
        </w:rPr>
      </w:pPr>
      <w:r w:rsidRPr="003A7D62">
        <w:rPr>
          <w:rFonts w:cs="Arial"/>
          <w:szCs w:val="24"/>
        </w:rPr>
        <w:lastRenderedPageBreak/>
        <w:t>As of January 2012, production capacity for ethanol was around 14 billion gallons annually</w:t>
      </w:r>
      <w:r w:rsidR="00EF56FE" w:rsidRPr="003A7D62">
        <w:rPr>
          <w:rFonts w:cs="Arial"/>
          <w:szCs w:val="24"/>
        </w:rPr>
        <w:t>,</w:t>
      </w:r>
      <w:r w:rsidR="00EF56FE" w:rsidRPr="003A7D62">
        <w:rPr>
          <w:rStyle w:val="FootnoteReference"/>
          <w:rFonts w:cs="Arial"/>
          <w:szCs w:val="24"/>
        </w:rPr>
        <w:footnoteReference w:id="107"/>
      </w:r>
      <w:r w:rsidRPr="003A7D62">
        <w:rPr>
          <w:rFonts w:cs="Arial"/>
          <w:szCs w:val="24"/>
        </w:rPr>
        <w:t xml:space="preserve"> and in 2011, </w:t>
      </w:r>
      <w:r w:rsidR="00EF56FE" w:rsidRPr="003A7D62">
        <w:rPr>
          <w:rFonts w:cs="Arial"/>
          <w:szCs w:val="24"/>
        </w:rPr>
        <w:t>the U.S. ethanol industry produced more than 13.9 million gallons of ethanol.</w:t>
      </w:r>
      <w:r w:rsidR="00EF56FE" w:rsidRPr="003A7D62">
        <w:rPr>
          <w:rStyle w:val="FootnoteReference"/>
          <w:rFonts w:cs="Arial"/>
          <w:szCs w:val="24"/>
        </w:rPr>
        <w:footnoteReference w:id="108"/>
      </w:r>
      <w:r w:rsidR="00EF56FE" w:rsidRPr="003A7D62">
        <w:rPr>
          <w:rFonts w:cs="Arial"/>
          <w:szCs w:val="24"/>
        </w:rPr>
        <w:t xml:space="preserve"> Biodiesel capacity in 2012 was 2.1 billion gallons</w:t>
      </w:r>
      <w:r w:rsidR="00844DD2" w:rsidRPr="003A7D62">
        <w:rPr>
          <w:rFonts w:cs="Arial"/>
          <w:szCs w:val="24"/>
        </w:rPr>
        <w:t>;</w:t>
      </w:r>
      <w:r w:rsidR="00EF56FE" w:rsidRPr="003A7D62">
        <w:rPr>
          <w:rFonts w:cs="Arial"/>
          <w:szCs w:val="24"/>
        </w:rPr>
        <w:t xml:space="preserve"> actual production was nearly 970 million gallons.</w:t>
      </w:r>
      <w:r w:rsidR="008C2646" w:rsidRPr="003A7D62">
        <w:rPr>
          <w:rStyle w:val="FootnoteReference"/>
          <w:rFonts w:cs="Arial"/>
          <w:szCs w:val="24"/>
        </w:rPr>
        <w:footnoteReference w:id="109"/>
      </w:r>
      <w:r w:rsidR="00A8227E" w:rsidRPr="003A7D62">
        <w:rPr>
          <w:rFonts w:cs="Arial"/>
          <w:szCs w:val="24"/>
        </w:rPr>
        <w:t xml:space="preserve"> Given these production estimates</w:t>
      </w:r>
      <w:r w:rsidR="008C2646" w:rsidRPr="003A7D62">
        <w:rPr>
          <w:rFonts w:cs="Arial"/>
          <w:szCs w:val="24"/>
        </w:rPr>
        <w:t xml:space="preserve">, </w:t>
      </w:r>
      <w:r w:rsidR="006C3038" w:rsidRPr="003A7D62">
        <w:rPr>
          <w:rFonts w:cs="Arial"/>
          <w:szCs w:val="24"/>
        </w:rPr>
        <w:t xml:space="preserve">corn-based ethanol and biodiesel are exceeding RFS targets. </w:t>
      </w:r>
    </w:p>
    <w:p w:rsidR="009D132B" w:rsidRDefault="00844DD2" w:rsidP="00E4264C">
      <w:pPr>
        <w:rPr>
          <w:rFonts w:cs="Arial"/>
          <w:szCs w:val="24"/>
        </w:rPr>
      </w:pPr>
      <w:r w:rsidRPr="003A7D62">
        <w:rPr>
          <w:rFonts w:cs="Arial"/>
          <w:szCs w:val="24"/>
        </w:rPr>
        <w:t>Alt</w:t>
      </w:r>
      <w:r w:rsidR="006C3038" w:rsidRPr="003A7D62">
        <w:rPr>
          <w:rFonts w:cs="Arial"/>
          <w:szCs w:val="24"/>
        </w:rPr>
        <w:t xml:space="preserve">hough the EPA has </w:t>
      </w:r>
      <w:r w:rsidR="00BE492B" w:rsidRPr="003A7D62">
        <w:rPr>
          <w:rFonts w:cs="Arial"/>
          <w:szCs w:val="24"/>
        </w:rPr>
        <w:t>significantly</w:t>
      </w:r>
      <w:r w:rsidR="006C3038" w:rsidRPr="003A7D62">
        <w:rPr>
          <w:rFonts w:cs="Arial"/>
          <w:szCs w:val="24"/>
        </w:rPr>
        <w:t xml:space="preserve"> reduced targets for cellulosic ethanol production for 2010 to 2013,</w:t>
      </w:r>
      <w:r w:rsidR="006C3038" w:rsidRPr="003A7D62">
        <w:rPr>
          <w:rStyle w:val="FootnoteReference"/>
          <w:rFonts w:cs="Arial"/>
          <w:szCs w:val="24"/>
        </w:rPr>
        <w:footnoteReference w:id="110"/>
      </w:r>
      <w:r w:rsidR="006C3038" w:rsidRPr="003A7D62">
        <w:rPr>
          <w:rFonts w:cs="Arial"/>
          <w:szCs w:val="24"/>
        </w:rPr>
        <w:t xml:space="preserve"> the new targets are still high </w:t>
      </w:r>
      <w:r w:rsidRPr="003A7D62">
        <w:rPr>
          <w:rFonts w:cs="Arial"/>
          <w:szCs w:val="24"/>
        </w:rPr>
        <w:t xml:space="preserve">when </w:t>
      </w:r>
      <w:r w:rsidR="006C3038" w:rsidRPr="003A7D62">
        <w:rPr>
          <w:rFonts w:cs="Arial"/>
          <w:szCs w:val="24"/>
        </w:rPr>
        <w:t>compared</w:t>
      </w:r>
      <w:r w:rsidR="007D3F9C" w:rsidRPr="003A7D62">
        <w:rPr>
          <w:rFonts w:cs="Arial"/>
          <w:szCs w:val="24"/>
        </w:rPr>
        <w:t xml:space="preserve"> to actual producti</w:t>
      </w:r>
      <w:r w:rsidR="00866ADC" w:rsidRPr="003A7D62">
        <w:rPr>
          <w:rFonts w:cs="Arial"/>
          <w:szCs w:val="24"/>
        </w:rPr>
        <w:t>on levels of cellulosic ethanol.</w:t>
      </w:r>
      <w:r w:rsidR="007D3F9C" w:rsidRPr="003A7D62">
        <w:rPr>
          <w:rFonts w:cs="Arial"/>
          <w:szCs w:val="24"/>
        </w:rPr>
        <w:t xml:space="preserve"> </w:t>
      </w:r>
      <w:r w:rsidR="00866ADC" w:rsidRPr="003A7D62">
        <w:rPr>
          <w:rFonts w:cs="Arial"/>
          <w:szCs w:val="24"/>
        </w:rPr>
        <w:t>Commercial cellulosic ethanol production was non-existent in 2010 and 2011 and only 20,000 gallons in 2012 (less than one percent of even the reduced EPA target).</w:t>
      </w:r>
      <w:r w:rsidR="00866ADC" w:rsidRPr="003A7D62">
        <w:rPr>
          <w:rStyle w:val="FootnoteReference"/>
          <w:rFonts w:cs="Arial"/>
          <w:szCs w:val="24"/>
        </w:rPr>
        <w:footnoteReference w:id="111"/>
      </w:r>
      <w:r w:rsidR="00866ADC" w:rsidRPr="003A7D62">
        <w:rPr>
          <w:rFonts w:cs="Arial"/>
          <w:szCs w:val="24"/>
        </w:rPr>
        <w:t xml:space="preserve"> Most of the production last year came from plants that were just starting up in late 2012</w:t>
      </w:r>
      <w:r w:rsidRPr="003A7D62">
        <w:rPr>
          <w:rFonts w:cs="Arial"/>
          <w:szCs w:val="24"/>
        </w:rPr>
        <w:t>;</w:t>
      </w:r>
      <w:r w:rsidR="00866ADC" w:rsidRPr="003A7D62">
        <w:rPr>
          <w:rFonts w:cs="Arial"/>
          <w:szCs w:val="24"/>
        </w:rPr>
        <w:t xml:space="preserve"> the U.S. Energy Information Administration notes that cellulosic ethanol production could be as high as 5 million gallons for 2013.</w:t>
      </w:r>
    </w:p>
    <w:p w:rsidR="000A73EE" w:rsidRDefault="000A73EE" w:rsidP="000A73EE">
      <w:r>
        <w:t>Currently E10 (a blend of 90 percent gasoline and 10 percent ethanol) is dispensed from 96 percent of gasoline pumps in the United States.</w:t>
      </w:r>
      <w:r>
        <w:rPr>
          <w:rStyle w:val="FootnoteReference"/>
        </w:rPr>
        <w:footnoteReference w:id="112"/>
      </w:r>
      <w:r>
        <w:t xml:space="preserve"> In 2011, the U.S. Environmental Protection Agency (EPA) approved the sale of E15 (gasoline containing 15 percent ethanol) for use in 2001 model year and newer vehicles. The approval was seen as controversial, as most vehicles on the road in the United States were not designed to use fuel blended with such a high concentration of ethanol, and use of E15 could potentially damage vehicle components in some vehicles. In late March 2013, the Alliance of Automobile Manufacturers and the Association of Global Automakers,</w:t>
      </w:r>
      <w:r>
        <w:rPr>
          <w:rStyle w:val="FootnoteReference"/>
        </w:rPr>
        <w:footnoteReference w:id="113"/>
      </w:r>
      <w:r>
        <w:t xml:space="preserve"> along with other parties, petitioned the U.S. Supreme Court to overturn a previous circuit court ruling that the trade associations did not have the legal standing to challenge the EPA’s approval of E15.</w:t>
      </w:r>
      <w:r>
        <w:rPr>
          <w:rStyle w:val="FootnoteReference"/>
        </w:rPr>
        <w:footnoteReference w:id="114"/>
      </w:r>
      <w:r>
        <w:t xml:space="preserve"> </w:t>
      </w:r>
    </w:p>
    <w:p w:rsidR="000A73EE" w:rsidRPr="003A7D62" w:rsidRDefault="000A73EE" w:rsidP="000A73EE">
      <w:pPr>
        <w:rPr>
          <w:rFonts w:cs="Arial"/>
          <w:szCs w:val="24"/>
        </w:rPr>
      </w:pPr>
      <w:r>
        <w:t>In the United States, sales of flex-fuel vehicles have been stimulated by CAFE incentives; automakers received CAFE credits for selling flex-fuel vehicles.</w:t>
      </w:r>
      <w:r>
        <w:rPr>
          <w:rStyle w:val="FootnoteReference"/>
        </w:rPr>
        <w:footnoteReference w:id="115"/>
      </w:r>
      <w:r>
        <w:t xml:space="preserve"> Current </w:t>
      </w:r>
      <w:r w:rsidR="00077259">
        <w:t xml:space="preserve">CAFE </w:t>
      </w:r>
      <w:r>
        <w:t>incentives are scheduled</w:t>
      </w:r>
      <w:r w:rsidR="00077259">
        <w:t xml:space="preserve"> to expire after model year 2016</w:t>
      </w:r>
      <w:r>
        <w:t>.</w:t>
      </w:r>
      <w:r w:rsidR="00077259" w:rsidRPr="00D14A7B">
        <w:rPr>
          <w:rStyle w:val="FootnoteReference"/>
          <w:rFonts w:cs="Arial"/>
          <w:szCs w:val="24"/>
        </w:rPr>
        <w:footnoteReference w:id="116"/>
      </w:r>
      <w:r>
        <w:t xml:space="preserve"> There will still be incentives for the production and sales of E85, and some incentive to produce flex-fuel vehicles will still exist because such vehicles will be able to achieve lower tailpipe GHG emissions when operating on E85. The EPA has noted that it believes automakers will continue to manufacture flex-fuel vehicles and it does not anticipate offering additional incentives for </w:t>
      </w:r>
      <w:r>
        <w:lastRenderedPageBreak/>
        <w:t>these vehicles.</w:t>
      </w:r>
      <w:r>
        <w:rPr>
          <w:rStyle w:val="FootnoteReference"/>
        </w:rPr>
        <w:footnoteReference w:id="117"/>
      </w:r>
      <w:r>
        <w:t xml:space="preserve"> Over the past several years, sales of flex-fuel vehicles in the United States have topped one million units, and, for model year 2011, EPA estimates that approximately two million units were produced.</w:t>
      </w:r>
      <w:r>
        <w:rPr>
          <w:rStyle w:val="FootnoteReference"/>
        </w:rPr>
        <w:footnoteReference w:id="118"/>
      </w:r>
      <w:r>
        <w:t xml:space="preserve"> If, however, this policy shift does decrease the number of flex-fuel vehicles sold in the United States, the estimated number of flex-fuel vehicles in the 2030 U.S. vehicle fleet could be substantially reduced.</w:t>
      </w:r>
    </w:p>
    <w:p w:rsidR="00224286" w:rsidRPr="008720F3" w:rsidRDefault="00F402C7" w:rsidP="003A7D62">
      <w:pPr>
        <w:pStyle w:val="Heading3"/>
      </w:pPr>
      <w:bookmarkStart w:id="42" w:name="_Toc352854197"/>
      <w:r w:rsidRPr="008720F3">
        <w:t xml:space="preserve">Funding of </w:t>
      </w:r>
      <w:r w:rsidR="00E869A4" w:rsidRPr="008720F3">
        <w:t>Infrastructure</w:t>
      </w:r>
      <w:bookmarkEnd w:id="42"/>
    </w:p>
    <w:p w:rsidR="00224286" w:rsidRPr="003A7D62" w:rsidRDefault="00224286" w:rsidP="00E4264C">
      <w:pPr>
        <w:rPr>
          <w:rFonts w:cs="Arial"/>
          <w:szCs w:val="24"/>
        </w:rPr>
      </w:pPr>
      <w:r w:rsidRPr="003A7D62">
        <w:rPr>
          <w:rFonts w:cs="Arial"/>
          <w:szCs w:val="24"/>
        </w:rPr>
        <w:t>Public funding for transportation infrastructure in the United States is becoming a major issue. As vehicles become more efficient, the federal and state governments receive less from fuel taxes</w:t>
      </w:r>
      <w:r w:rsidR="00844DD2" w:rsidRPr="003A7D62">
        <w:rPr>
          <w:rFonts w:cs="Arial"/>
          <w:szCs w:val="24"/>
        </w:rPr>
        <w:t>.</w:t>
      </w:r>
      <w:r w:rsidRPr="003A7D62">
        <w:rPr>
          <w:rFonts w:cs="Arial"/>
          <w:szCs w:val="24"/>
        </w:rPr>
        <w:t xml:space="preserve"> </w:t>
      </w:r>
      <w:r w:rsidR="00844DD2" w:rsidRPr="003A7D62">
        <w:rPr>
          <w:rFonts w:cs="Arial"/>
          <w:szCs w:val="24"/>
        </w:rPr>
        <w:t xml:space="preserve">These taxes </w:t>
      </w:r>
      <w:r w:rsidRPr="003A7D62">
        <w:rPr>
          <w:rFonts w:cs="Arial"/>
          <w:szCs w:val="24"/>
        </w:rPr>
        <w:t xml:space="preserve">are responsible for 40 percent of state highway revenues and </w:t>
      </w:r>
      <w:r w:rsidR="00844DD2" w:rsidRPr="003A7D62">
        <w:rPr>
          <w:rFonts w:cs="Arial"/>
          <w:szCs w:val="24"/>
        </w:rPr>
        <w:t xml:space="preserve">comprise </w:t>
      </w:r>
      <w:r w:rsidRPr="003A7D62">
        <w:rPr>
          <w:rFonts w:cs="Arial"/>
          <w:szCs w:val="24"/>
        </w:rPr>
        <w:t>over 90 percent of the federal highway trust fund.</w:t>
      </w:r>
      <w:r w:rsidR="002A19BE" w:rsidRPr="003A7D62">
        <w:rPr>
          <w:rStyle w:val="FootnoteReference"/>
          <w:rFonts w:cs="Arial"/>
          <w:szCs w:val="24"/>
        </w:rPr>
        <w:footnoteReference w:id="119"/>
      </w:r>
      <w:r w:rsidRPr="003A7D62">
        <w:rPr>
          <w:rFonts w:cs="Arial"/>
          <w:szCs w:val="24"/>
        </w:rPr>
        <w:t xml:space="preserve"> Making matters worse, few of these taxes are indexed to inflation, so the </w:t>
      </w:r>
      <w:r w:rsidR="00E869A4" w:rsidRPr="003A7D62">
        <w:rPr>
          <w:rFonts w:cs="Arial"/>
          <w:szCs w:val="24"/>
        </w:rPr>
        <w:t xml:space="preserve">real </w:t>
      </w:r>
      <w:r w:rsidRPr="003A7D62">
        <w:rPr>
          <w:rFonts w:cs="Arial"/>
          <w:szCs w:val="24"/>
        </w:rPr>
        <w:t>value of t</w:t>
      </w:r>
      <w:r w:rsidR="00E869A4" w:rsidRPr="003A7D62">
        <w:rPr>
          <w:rFonts w:cs="Arial"/>
          <w:szCs w:val="24"/>
        </w:rPr>
        <w:t>he t</w:t>
      </w:r>
      <w:r w:rsidRPr="003A7D62">
        <w:rPr>
          <w:rFonts w:cs="Arial"/>
          <w:szCs w:val="24"/>
        </w:rPr>
        <w:t xml:space="preserve">axes </w:t>
      </w:r>
      <w:r w:rsidR="00E869A4" w:rsidRPr="003A7D62">
        <w:rPr>
          <w:rFonts w:cs="Arial"/>
          <w:szCs w:val="24"/>
        </w:rPr>
        <w:t xml:space="preserve">collected per </w:t>
      </w:r>
      <w:r w:rsidRPr="003A7D62">
        <w:rPr>
          <w:rFonts w:cs="Arial"/>
          <w:szCs w:val="24"/>
        </w:rPr>
        <w:t xml:space="preserve">gallon sold </w:t>
      </w:r>
      <w:r w:rsidR="00E869A4" w:rsidRPr="003A7D62">
        <w:rPr>
          <w:rFonts w:cs="Arial"/>
          <w:szCs w:val="24"/>
        </w:rPr>
        <w:t xml:space="preserve">is decreasing </w:t>
      </w:r>
      <w:r w:rsidRPr="003A7D62">
        <w:rPr>
          <w:rFonts w:cs="Arial"/>
          <w:szCs w:val="24"/>
        </w:rPr>
        <w:t>with each passing year.</w:t>
      </w:r>
      <w:r w:rsidR="00E869A4" w:rsidRPr="003A7D62">
        <w:rPr>
          <w:rFonts w:cs="Arial"/>
          <w:szCs w:val="24"/>
        </w:rPr>
        <w:t xml:space="preserve"> </w:t>
      </w:r>
      <w:r w:rsidR="00DA61FB" w:rsidRPr="003A7D62">
        <w:rPr>
          <w:rFonts w:cs="Arial"/>
          <w:szCs w:val="24"/>
        </w:rPr>
        <w:t>While some states are looking at increasing their gasoline taxes, other</w:t>
      </w:r>
      <w:r w:rsidR="002A19BE" w:rsidRPr="003A7D62">
        <w:rPr>
          <w:rFonts w:cs="Arial"/>
          <w:szCs w:val="24"/>
        </w:rPr>
        <w:t xml:space="preserve"> solutions</w:t>
      </w:r>
      <w:r w:rsidR="00DA61FB" w:rsidRPr="003A7D62">
        <w:rPr>
          <w:rFonts w:cs="Arial"/>
          <w:szCs w:val="24"/>
        </w:rPr>
        <w:t xml:space="preserve"> that could potentially address</w:t>
      </w:r>
      <w:r w:rsidR="0041262E" w:rsidRPr="003A7D62">
        <w:rPr>
          <w:rFonts w:cs="Arial"/>
          <w:szCs w:val="24"/>
        </w:rPr>
        <w:t xml:space="preserve"> the</w:t>
      </w:r>
      <w:r w:rsidR="002A19BE" w:rsidRPr="003A7D62">
        <w:rPr>
          <w:rFonts w:cs="Arial"/>
          <w:szCs w:val="24"/>
        </w:rPr>
        <w:t xml:space="preserve"> problem of financing public </w:t>
      </w:r>
      <w:r w:rsidR="00DA61FB" w:rsidRPr="003A7D62">
        <w:rPr>
          <w:rFonts w:cs="Arial"/>
          <w:szCs w:val="24"/>
        </w:rPr>
        <w:t xml:space="preserve">road </w:t>
      </w:r>
      <w:r w:rsidR="002A19BE" w:rsidRPr="003A7D62">
        <w:rPr>
          <w:rFonts w:cs="Arial"/>
          <w:szCs w:val="24"/>
        </w:rPr>
        <w:t>infrastructure</w:t>
      </w:r>
      <w:r w:rsidR="00DA61FB" w:rsidRPr="003A7D62">
        <w:rPr>
          <w:rFonts w:cs="Arial"/>
          <w:szCs w:val="24"/>
        </w:rPr>
        <w:t xml:space="preserve"> are also being considered</w:t>
      </w:r>
      <w:r w:rsidR="002A19BE" w:rsidRPr="003A7D62">
        <w:rPr>
          <w:rFonts w:cs="Arial"/>
          <w:szCs w:val="24"/>
        </w:rPr>
        <w:t xml:space="preserve">. </w:t>
      </w:r>
    </w:p>
    <w:p w:rsidR="002A19BE" w:rsidRPr="003A7D62" w:rsidRDefault="002A19BE" w:rsidP="00E4264C">
      <w:pPr>
        <w:rPr>
          <w:rFonts w:cs="Arial"/>
          <w:szCs w:val="24"/>
        </w:rPr>
      </w:pPr>
      <w:r w:rsidRPr="003A7D62">
        <w:rPr>
          <w:rFonts w:cs="Arial"/>
          <w:szCs w:val="24"/>
        </w:rPr>
        <w:t>The governor of Virginia recently proposed discontinuing the gasoline tax and increasing the state’s sales tax to fund road construction and maintenance. His proposal would create an annual fee for vehicles using alternative fuels</w:t>
      </w:r>
      <w:r w:rsidR="00575998" w:rsidRPr="003A7D62">
        <w:rPr>
          <w:rFonts w:cs="Arial"/>
          <w:szCs w:val="24"/>
        </w:rPr>
        <w:t>, because they do not pay gasoline taxes, but they drive on public roads</w:t>
      </w:r>
      <w:r w:rsidRPr="003A7D62">
        <w:rPr>
          <w:rFonts w:cs="Arial"/>
          <w:szCs w:val="24"/>
        </w:rPr>
        <w:t>. This proposal is controversial, largely because it moves the burden of funding roads to a broader base</w:t>
      </w:r>
      <w:r w:rsidR="00AB11B3" w:rsidRPr="003A7D62">
        <w:rPr>
          <w:rFonts w:cs="Arial"/>
          <w:szCs w:val="24"/>
        </w:rPr>
        <w:t>, disconnecting the cost of roads from the users of roads</w:t>
      </w:r>
      <w:r w:rsidR="008C16B9" w:rsidRPr="003A7D62">
        <w:rPr>
          <w:rFonts w:cs="Arial"/>
          <w:szCs w:val="24"/>
        </w:rPr>
        <w:t>. I</w:t>
      </w:r>
      <w:r w:rsidR="00AB11B3" w:rsidRPr="003A7D62">
        <w:rPr>
          <w:rFonts w:cs="Arial"/>
          <w:szCs w:val="24"/>
        </w:rPr>
        <w:t>t</w:t>
      </w:r>
      <w:r w:rsidRPr="003A7D62">
        <w:rPr>
          <w:rFonts w:cs="Arial"/>
          <w:szCs w:val="24"/>
        </w:rPr>
        <w:t xml:space="preserve"> has</w:t>
      </w:r>
      <w:r w:rsidR="008C16B9" w:rsidRPr="003A7D62">
        <w:rPr>
          <w:rFonts w:cs="Arial"/>
          <w:szCs w:val="24"/>
        </w:rPr>
        <w:t>, however,</w:t>
      </w:r>
      <w:r w:rsidRPr="003A7D62">
        <w:rPr>
          <w:rFonts w:cs="Arial"/>
          <w:szCs w:val="24"/>
        </w:rPr>
        <w:t xml:space="preserve"> received media </w:t>
      </w:r>
      <w:r w:rsidR="00AB11B3" w:rsidRPr="003A7D62">
        <w:rPr>
          <w:rFonts w:cs="Arial"/>
          <w:szCs w:val="24"/>
        </w:rPr>
        <w:t>coverage across the United States, bringing the issue of road funding to national attention.</w:t>
      </w:r>
    </w:p>
    <w:p w:rsidR="00971AD1" w:rsidRPr="003A7D62" w:rsidRDefault="002A19BE" w:rsidP="00E4264C">
      <w:pPr>
        <w:rPr>
          <w:rFonts w:cs="Arial"/>
          <w:szCs w:val="24"/>
        </w:rPr>
      </w:pPr>
      <w:r w:rsidRPr="003A7D62">
        <w:rPr>
          <w:rFonts w:cs="Arial"/>
          <w:szCs w:val="24"/>
        </w:rPr>
        <w:t>Some other states have considered charging drivers based on their mileage</w:t>
      </w:r>
      <w:r w:rsidR="00844DD2" w:rsidRPr="003A7D62">
        <w:rPr>
          <w:rFonts w:cs="Arial"/>
          <w:szCs w:val="24"/>
        </w:rPr>
        <w:t>. This idea</w:t>
      </w:r>
      <w:r w:rsidRPr="003A7D62">
        <w:rPr>
          <w:rFonts w:cs="Arial"/>
          <w:szCs w:val="24"/>
        </w:rPr>
        <w:t xml:space="preserve"> is also controversial</w:t>
      </w:r>
      <w:r w:rsidR="00AB11B3" w:rsidRPr="003A7D62">
        <w:rPr>
          <w:rFonts w:cs="Arial"/>
          <w:szCs w:val="24"/>
        </w:rPr>
        <w:t xml:space="preserve"> as many drivers are apprehensive about the possibility of </w:t>
      </w:r>
      <w:r w:rsidR="00DA61FB" w:rsidRPr="003A7D62">
        <w:rPr>
          <w:rFonts w:cs="Arial"/>
          <w:szCs w:val="24"/>
        </w:rPr>
        <w:t>their vehicle</w:t>
      </w:r>
      <w:r w:rsidR="00844DD2" w:rsidRPr="003A7D62">
        <w:rPr>
          <w:rFonts w:cs="Arial"/>
          <w:szCs w:val="24"/>
        </w:rPr>
        <w:t>s</w:t>
      </w:r>
      <w:r w:rsidR="00DA61FB" w:rsidRPr="003A7D62">
        <w:rPr>
          <w:rFonts w:cs="Arial"/>
          <w:szCs w:val="24"/>
        </w:rPr>
        <w:t xml:space="preserve"> being tracked; </w:t>
      </w:r>
      <w:r w:rsidR="0041262E" w:rsidRPr="003A7D62">
        <w:rPr>
          <w:rFonts w:cs="Arial"/>
          <w:szCs w:val="24"/>
        </w:rPr>
        <w:t>al</w:t>
      </w:r>
      <w:r w:rsidR="00DA61FB" w:rsidRPr="003A7D62">
        <w:rPr>
          <w:rFonts w:cs="Arial"/>
          <w:szCs w:val="24"/>
        </w:rPr>
        <w:t>though, not all methods for implementing a mileage-based user fee would require vehicle tracking. Oregon is currently running a small pilot program testing five different systems that could support a mileage-based fee.</w:t>
      </w:r>
      <w:r w:rsidR="00DA61FB" w:rsidRPr="003A7D62">
        <w:rPr>
          <w:rStyle w:val="FootnoteReference"/>
          <w:rFonts w:cs="Arial"/>
          <w:szCs w:val="24"/>
        </w:rPr>
        <w:footnoteReference w:id="120"/>
      </w:r>
    </w:p>
    <w:p w:rsidR="004847F1" w:rsidRPr="008720F3" w:rsidRDefault="004847F1" w:rsidP="003A7D62">
      <w:pPr>
        <w:pStyle w:val="Heading2"/>
      </w:pPr>
      <w:bookmarkStart w:id="43" w:name="_Toc352854198"/>
      <w:r w:rsidRPr="008720F3">
        <w:t>California</w:t>
      </w:r>
      <w:bookmarkEnd w:id="43"/>
    </w:p>
    <w:p w:rsidR="00F402C7" w:rsidRPr="003A7D62" w:rsidRDefault="00F402C7" w:rsidP="00F402C7">
      <w:pPr>
        <w:pStyle w:val="NoSpacing"/>
        <w:spacing w:after="200" w:line="276" w:lineRule="auto"/>
        <w:rPr>
          <w:rFonts w:cs="Arial"/>
        </w:rPr>
      </w:pPr>
      <w:r w:rsidRPr="003A7D62">
        <w:rPr>
          <w:rFonts w:cs="Arial"/>
        </w:rPr>
        <w:t xml:space="preserve">The State of California </w:t>
      </w:r>
      <w:r w:rsidR="00F42C60" w:rsidRPr="003A7D62">
        <w:rPr>
          <w:rFonts w:cs="Arial"/>
        </w:rPr>
        <w:t>has more</w:t>
      </w:r>
      <w:r w:rsidRPr="003A7D62">
        <w:rPr>
          <w:rFonts w:cs="Arial"/>
        </w:rPr>
        <w:t xml:space="preserve"> alternative fuel stations </w:t>
      </w:r>
      <w:r w:rsidR="00F42C60" w:rsidRPr="003A7D62">
        <w:rPr>
          <w:rFonts w:cs="Arial"/>
        </w:rPr>
        <w:t xml:space="preserve">than any other state </w:t>
      </w:r>
      <w:r w:rsidRPr="003A7D62">
        <w:rPr>
          <w:rFonts w:cs="Arial"/>
        </w:rPr>
        <w:t>in the United States, with a total count of 2,163 ac</w:t>
      </w:r>
      <w:r w:rsidR="00715731" w:rsidRPr="003A7D62">
        <w:rPr>
          <w:rFonts w:cs="Arial"/>
        </w:rPr>
        <w:t>ross all alternative fuel types</w:t>
      </w:r>
      <w:r w:rsidR="00715731" w:rsidRPr="003A7D62">
        <w:rPr>
          <w:rFonts w:cs="Arial"/>
          <w:szCs w:val="24"/>
        </w:rPr>
        <w:t>—</w:t>
      </w:r>
      <w:r w:rsidR="008C16B9" w:rsidRPr="003A7D62">
        <w:rPr>
          <w:rFonts w:cs="Arial"/>
        </w:rPr>
        <w:t>just below 15 percent</w:t>
      </w:r>
      <w:r w:rsidR="003A19B6" w:rsidRPr="003A7D62">
        <w:rPr>
          <w:rFonts w:cs="Arial"/>
        </w:rPr>
        <w:t xml:space="preserve"> of the U.S. total. </w:t>
      </w:r>
      <w:r w:rsidR="006C46AB" w:rsidRPr="003A7D62">
        <w:rPr>
          <w:rFonts w:cs="Arial"/>
        </w:rPr>
        <w:t xml:space="preserve">When considering </w:t>
      </w:r>
      <w:r w:rsidRPr="003A7D62">
        <w:rPr>
          <w:rFonts w:cs="Arial"/>
        </w:rPr>
        <w:t>electric vehicle recharging by the number of outlets, rather than the number of charging stations, this</w:t>
      </w:r>
      <w:r w:rsidR="006C46AB" w:rsidRPr="003A7D62">
        <w:rPr>
          <w:rFonts w:cs="Arial"/>
        </w:rPr>
        <w:t xml:space="preserve"> total</w:t>
      </w:r>
      <w:r w:rsidRPr="003A7D62">
        <w:rPr>
          <w:rFonts w:cs="Arial"/>
        </w:rPr>
        <w:t xml:space="preserve"> climbs to 4,599, </w:t>
      </w:r>
      <w:r w:rsidR="006C46AB" w:rsidRPr="003A7D62">
        <w:rPr>
          <w:rFonts w:cs="Arial"/>
        </w:rPr>
        <w:t xml:space="preserve">or </w:t>
      </w:r>
      <w:r w:rsidR="008C16B9" w:rsidRPr="003A7D62">
        <w:rPr>
          <w:rFonts w:cs="Arial"/>
        </w:rPr>
        <w:t>about 20 percent</w:t>
      </w:r>
      <w:r w:rsidRPr="003A7D62">
        <w:rPr>
          <w:rFonts w:cs="Arial"/>
        </w:rPr>
        <w:t xml:space="preserve"> of the national total of 23,406 alternative fuel stations.</w:t>
      </w:r>
      <w:r w:rsidRPr="003A7D62">
        <w:rPr>
          <w:rStyle w:val="FootnoteReference"/>
          <w:rFonts w:cs="Arial"/>
        </w:rPr>
        <w:footnoteReference w:id="121"/>
      </w:r>
      <w:r w:rsidRPr="003A7D62">
        <w:rPr>
          <w:rFonts w:cs="Arial"/>
        </w:rPr>
        <w:t xml:space="preserve"> Focusing in on specific fuel types, California is found to contain 74 fueling stations which offer E85, 257 providing CNG, and a total of 1,460 charging stations, providing a total of 3,896 outlets for battery electric and plug-in hybrid vehicle recharging, across all non-residential sources.</w:t>
      </w:r>
      <w:r w:rsidRPr="003A7D62">
        <w:rPr>
          <w:rStyle w:val="FootnoteReference"/>
          <w:rFonts w:cs="Arial"/>
        </w:rPr>
        <w:footnoteReference w:id="122"/>
      </w:r>
      <w:r w:rsidRPr="003A7D62">
        <w:rPr>
          <w:rFonts w:cs="Arial"/>
        </w:rPr>
        <w:t xml:space="preserve"> </w:t>
      </w:r>
    </w:p>
    <w:p w:rsidR="00F402C7" w:rsidRPr="003A7D62" w:rsidRDefault="00F402C7" w:rsidP="00F402C7">
      <w:pPr>
        <w:pStyle w:val="NoSpacing"/>
        <w:spacing w:after="200" w:line="276" w:lineRule="auto"/>
        <w:rPr>
          <w:rFonts w:cs="Arial"/>
        </w:rPr>
      </w:pPr>
      <w:r w:rsidRPr="003A7D62">
        <w:rPr>
          <w:rFonts w:cs="Arial"/>
        </w:rPr>
        <w:lastRenderedPageBreak/>
        <w:t xml:space="preserve">According to the most recent </w:t>
      </w:r>
      <w:r w:rsidRPr="003A7D62">
        <w:rPr>
          <w:rFonts w:cs="Arial"/>
          <w:i/>
        </w:rPr>
        <w:t>California Retail Fuel Outlet Annual Report</w:t>
      </w:r>
      <w:r w:rsidRPr="003A7D62">
        <w:rPr>
          <w:rFonts w:cs="Arial"/>
        </w:rPr>
        <w:t>, compiled by the California Energy Commission, there were approximately 8,300 gasoline stations in C</w:t>
      </w:r>
      <w:r w:rsidR="008C16B9" w:rsidRPr="003A7D62">
        <w:rPr>
          <w:rFonts w:cs="Arial"/>
        </w:rPr>
        <w:t>alifornia in 2011. Of these, 49 percent—</w:t>
      </w:r>
      <w:r w:rsidRPr="003A7D62">
        <w:rPr>
          <w:rFonts w:cs="Arial"/>
        </w:rPr>
        <w:t>or 4,067 stations</w:t>
      </w:r>
      <w:r w:rsidR="008C16B9" w:rsidRPr="003A7D62">
        <w:rPr>
          <w:rFonts w:cs="Arial"/>
        </w:rPr>
        <w:t>—</w:t>
      </w:r>
      <w:r w:rsidRPr="003A7D62">
        <w:rPr>
          <w:rFonts w:cs="Arial"/>
        </w:rPr>
        <w:t>also provided diesel fuel.</w:t>
      </w:r>
      <w:r w:rsidRPr="003A7D62">
        <w:rPr>
          <w:rStyle w:val="FootnoteReference"/>
          <w:rFonts w:cs="Arial"/>
        </w:rPr>
        <w:footnoteReference w:id="123"/>
      </w:r>
      <w:r w:rsidRPr="003A7D62">
        <w:rPr>
          <w:rFonts w:cs="Arial"/>
        </w:rPr>
        <w:t xml:space="preserve"> Data on the number of pumps available per fuel type is not reported. </w:t>
      </w:r>
    </w:p>
    <w:p w:rsidR="00F402C7" w:rsidRPr="003A7D62" w:rsidRDefault="00F402C7" w:rsidP="00F402C7">
      <w:pPr>
        <w:pStyle w:val="NoSpacing"/>
        <w:spacing w:after="200" w:line="276" w:lineRule="auto"/>
        <w:rPr>
          <w:rFonts w:cs="Arial"/>
        </w:rPr>
      </w:pPr>
      <w:r w:rsidRPr="003A7D62">
        <w:rPr>
          <w:rFonts w:cs="Arial"/>
        </w:rPr>
        <w:t>Alternative fuel stations are concentrated around the large urban clusters of Los Angeles, San Francisco and San Diego. The heaviest presence is within the LA area. While gas and diesel stations are also most</w:t>
      </w:r>
      <w:r w:rsidR="006C46AB" w:rsidRPr="003A7D62">
        <w:rPr>
          <w:rFonts w:cs="Arial"/>
        </w:rPr>
        <w:t>ly</w:t>
      </w:r>
      <w:r w:rsidR="0041262E" w:rsidRPr="003A7D62">
        <w:rPr>
          <w:rFonts w:cs="Arial"/>
        </w:rPr>
        <w:t xml:space="preserve"> </w:t>
      </w:r>
      <w:r w:rsidRPr="003A7D62">
        <w:rPr>
          <w:rFonts w:cs="Arial"/>
        </w:rPr>
        <w:t>concentrated in Los Angeles County, most alternative fuel stations are near to nonexistent outside of these areas.</w:t>
      </w:r>
      <w:r w:rsidRPr="003A7D62">
        <w:rPr>
          <w:rStyle w:val="FootnoteReference"/>
          <w:rFonts w:cs="Arial"/>
        </w:rPr>
        <w:footnoteReference w:id="124"/>
      </w:r>
    </w:p>
    <w:p w:rsidR="00F402C7" w:rsidRPr="008720F3" w:rsidRDefault="00F402C7" w:rsidP="003A7D62">
      <w:pPr>
        <w:pStyle w:val="Heading3"/>
      </w:pPr>
      <w:bookmarkStart w:id="44" w:name="_Toc352854199"/>
      <w:r w:rsidRPr="008720F3">
        <w:t>AFV Policies</w:t>
      </w:r>
      <w:bookmarkEnd w:id="44"/>
    </w:p>
    <w:p w:rsidR="00D95835" w:rsidRPr="003A7D62" w:rsidRDefault="00D95835" w:rsidP="00D95835">
      <w:pPr>
        <w:pStyle w:val="NoSpacing"/>
        <w:spacing w:after="200" w:line="276" w:lineRule="auto"/>
        <w:rPr>
          <w:rFonts w:cs="Arial"/>
        </w:rPr>
      </w:pPr>
      <w:r w:rsidRPr="003A7D62">
        <w:rPr>
          <w:rFonts w:cs="Arial"/>
        </w:rPr>
        <w:t xml:space="preserve">California’s environmental policies are unique among the states. This is most </w:t>
      </w:r>
      <w:r w:rsidR="006C46AB" w:rsidRPr="003A7D62">
        <w:rPr>
          <w:rFonts w:cs="Arial"/>
        </w:rPr>
        <w:t>clearly demonstrated by</w:t>
      </w:r>
      <w:r w:rsidRPr="003A7D62">
        <w:rPr>
          <w:rFonts w:cs="Arial"/>
        </w:rPr>
        <w:t xml:space="preserve"> the state’s exemption from the national Environmental Protection Agency’s vehicle emission regulations. This exemption was granted as California was the only state to have enacted such regulations prior to the development of national standards.</w:t>
      </w:r>
      <w:r w:rsidRPr="003A7D62">
        <w:rPr>
          <w:rStyle w:val="FootnoteReference"/>
          <w:rFonts w:cs="Arial"/>
        </w:rPr>
        <w:footnoteReference w:id="125"/>
      </w:r>
      <w:r w:rsidRPr="003A7D62">
        <w:rPr>
          <w:rFonts w:cs="Arial"/>
        </w:rPr>
        <w:t xml:space="preserve"> </w:t>
      </w:r>
    </w:p>
    <w:p w:rsidR="00D95835" w:rsidRPr="003A7D62" w:rsidRDefault="00D95835" w:rsidP="00D95835">
      <w:pPr>
        <w:pStyle w:val="NoSpacing"/>
        <w:spacing w:after="200" w:line="276" w:lineRule="auto"/>
        <w:rPr>
          <w:rFonts w:cs="Arial"/>
        </w:rPr>
      </w:pPr>
      <w:r w:rsidRPr="003A7D62">
        <w:rPr>
          <w:rFonts w:cs="Arial"/>
        </w:rPr>
        <w:t>Several programs and regulations enacted by the government of California influence</w:t>
      </w:r>
      <w:r w:rsidR="006C46AB" w:rsidRPr="003A7D62">
        <w:rPr>
          <w:rFonts w:cs="Arial"/>
        </w:rPr>
        <w:t>,</w:t>
      </w:r>
      <w:r w:rsidRPr="003A7D62">
        <w:rPr>
          <w:rFonts w:cs="Arial"/>
        </w:rPr>
        <w:t xml:space="preserve"> and likely are the primary force behind</w:t>
      </w:r>
      <w:r w:rsidR="006C46AB" w:rsidRPr="003A7D62">
        <w:rPr>
          <w:rFonts w:cs="Arial"/>
        </w:rPr>
        <w:t>,</w:t>
      </w:r>
      <w:r w:rsidRPr="003A7D62">
        <w:rPr>
          <w:rFonts w:cs="Arial"/>
        </w:rPr>
        <w:t xml:space="preserve"> the prevalence of alternative fuel infrastructure within the state. Two programs are particularly relevant</w:t>
      </w:r>
      <w:r w:rsidR="006C46AB" w:rsidRPr="003A7D62">
        <w:rPr>
          <w:rFonts w:cs="Arial"/>
        </w:rPr>
        <w:t>:</w:t>
      </w:r>
      <w:r w:rsidRPr="003A7D62">
        <w:rPr>
          <w:rFonts w:cs="Arial"/>
        </w:rPr>
        <w:t xml:space="preserve"> the </w:t>
      </w:r>
      <w:r w:rsidRPr="003A7D62">
        <w:rPr>
          <w:rFonts w:cs="Arial"/>
          <w:i/>
        </w:rPr>
        <w:t>California Hydrogen Highway</w:t>
      </w:r>
      <w:r w:rsidRPr="003A7D62">
        <w:rPr>
          <w:rFonts w:cs="Arial"/>
        </w:rPr>
        <w:t xml:space="preserve"> and </w:t>
      </w:r>
      <w:r w:rsidRPr="003A7D62">
        <w:rPr>
          <w:rFonts w:cs="Arial"/>
          <w:i/>
        </w:rPr>
        <w:t>Clean Fuels Outlet Regulation</w:t>
      </w:r>
      <w:r w:rsidRPr="003A7D62">
        <w:rPr>
          <w:rFonts w:cs="Arial"/>
        </w:rPr>
        <w:t xml:space="preserve">. </w:t>
      </w:r>
    </w:p>
    <w:p w:rsidR="00D95835" w:rsidRPr="003A7D62" w:rsidRDefault="00D95835" w:rsidP="00D95835">
      <w:pPr>
        <w:pStyle w:val="NoSpacing"/>
        <w:spacing w:after="200" w:line="276" w:lineRule="auto"/>
        <w:rPr>
          <w:rFonts w:cs="Arial"/>
        </w:rPr>
      </w:pPr>
      <w:r w:rsidRPr="003A7D62">
        <w:rPr>
          <w:rFonts w:cs="Arial"/>
        </w:rPr>
        <w:t xml:space="preserve">The </w:t>
      </w:r>
      <w:r w:rsidRPr="003A7D62">
        <w:rPr>
          <w:rFonts w:cs="Arial"/>
          <w:i/>
        </w:rPr>
        <w:t>California Hydrogen Highway</w:t>
      </w:r>
      <w:r w:rsidRPr="003A7D62">
        <w:rPr>
          <w:rFonts w:cs="Arial"/>
        </w:rPr>
        <w:t xml:space="preserve"> program was enacted by executive order in April of 2004. Through this initiative, $19 million w</w:t>
      </w:r>
      <w:r w:rsidR="006C46AB" w:rsidRPr="003A7D62">
        <w:rPr>
          <w:rFonts w:cs="Arial"/>
        </w:rPr>
        <w:t>as</w:t>
      </w:r>
      <w:r w:rsidRPr="003A7D62">
        <w:rPr>
          <w:rFonts w:cs="Arial"/>
        </w:rPr>
        <w:t xml:space="preserve"> appropriated for the construction of hydrogen fueling stations, across fiscal years 2005, 2006 and 2007.</w:t>
      </w:r>
      <w:r w:rsidRPr="003A7D62">
        <w:rPr>
          <w:rStyle w:val="FootnoteReference"/>
          <w:rFonts w:cs="Arial"/>
        </w:rPr>
        <w:footnoteReference w:id="126"/>
      </w:r>
      <w:r w:rsidRPr="003A7D62">
        <w:rPr>
          <w:rFonts w:cs="Arial"/>
        </w:rPr>
        <w:t xml:space="preserve"> This </w:t>
      </w:r>
      <w:r w:rsidR="008C16B9" w:rsidRPr="003A7D62">
        <w:rPr>
          <w:rFonts w:cs="Arial"/>
        </w:rPr>
        <w:t xml:space="preserve">program </w:t>
      </w:r>
      <w:r w:rsidRPr="003A7D62">
        <w:rPr>
          <w:rFonts w:cs="Arial"/>
        </w:rPr>
        <w:t xml:space="preserve">resulted in the construction of 15 state-funded hydrogen fueling stations by the end of 2012, with </w:t>
      </w:r>
      <w:r w:rsidR="00E42F65" w:rsidRPr="003A7D62">
        <w:rPr>
          <w:rFonts w:cs="Arial"/>
        </w:rPr>
        <w:t>funding available for another nine stations</w:t>
      </w:r>
      <w:r w:rsidRPr="003A7D62">
        <w:rPr>
          <w:rFonts w:cs="Arial"/>
        </w:rPr>
        <w:t>.</w:t>
      </w:r>
      <w:r w:rsidRPr="003A7D62">
        <w:rPr>
          <w:rStyle w:val="FootnoteReference"/>
          <w:rFonts w:cs="Arial"/>
        </w:rPr>
        <w:footnoteReference w:id="127"/>
      </w:r>
    </w:p>
    <w:p w:rsidR="00C12103" w:rsidRPr="003A7D62" w:rsidRDefault="00D95835" w:rsidP="00F402C7">
      <w:pPr>
        <w:pStyle w:val="NoSpacing"/>
        <w:spacing w:after="200" w:line="276" w:lineRule="auto"/>
        <w:rPr>
          <w:rFonts w:cs="Arial"/>
        </w:rPr>
      </w:pPr>
      <w:r w:rsidRPr="003A7D62">
        <w:rPr>
          <w:rFonts w:cs="Arial"/>
        </w:rPr>
        <w:t xml:space="preserve">The </w:t>
      </w:r>
      <w:r w:rsidRPr="003A7D62">
        <w:rPr>
          <w:rFonts w:cs="Arial"/>
          <w:i/>
        </w:rPr>
        <w:t xml:space="preserve">Clean Fuels Outlet Regulation </w:t>
      </w:r>
      <w:r w:rsidR="00682BA3" w:rsidRPr="003A7D62">
        <w:rPr>
          <w:rFonts w:cs="Arial"/>
        </w:rPr>
        <w:t>(CFOR)</w:t>
      </w:r>
      <w:r w:rsidR="00A87565" w:rsidRPr="003A7D62">
        <w:rPr>
          <w:rFonts w:cs="Arial"/>
        </w:rPr>
        <w:t>,</w:t>
      </w:r>
      <w:r w:rsidR="00682BA3" w:rsidRPr="003A7D62">
        <w:rPr>
          <w:rFonts w:cs="Arial"/>
        </w:rPr>
        <w:t xml:space="preserve"> </w:t>
      </w:r>
      <w:r w:rsidRPr="003A7D62">
        <w:rPr>
          <w:rFonts w:cs="Arial"/>
        </w:rPr>
        <w:t>a much more general program</w:t>
      </w:r>
      <w:r w:rsidR="00A87565" w:rsidRPr="003A7D62">
        <w:rPr>
          <w:rFonts w:cs="Arial"/>
        </w:rPr>
        <w:t>,</w:t>
      </w:r>
      <w:r w:rsidRPr="003A7D62">
        <w:rPr>
          <w:rFonts w:cs="Arial"/>
        </w:rPr>
        <w:t xml:space="preserve"> was first enacted in 1990 to encourage consumer adoption of “clean fuel” vehicles, by ensuring retail access to alternative fuels. This program mandates specific minimum fueling station counts for various types of alternate fuels. Once the statewide fleet of vehicles operated off a fuel type is projected to breach a threshold limit of 20,000, filling station owners and lessors are required to add capacity for that fuel until a government-determined minimum level of fueling capacity is reached, as represented by the number of filling stations offering that fuel type.</w:t>
      </w:r>
      <w:r w:rsidRPr="003A7D62">
        <w:rPr>
          <w:rStyle w:val="FootnoteReference"/>
          <w:rFonts w:cs="Arial"/>
        </w:rPr>
        <w:footnoteReference w:id="128"/>
      </w:r>
      <w:r w:rsidRPr="003A7D62">
        <w:rPr>
          <w:rFonts w:cs="Arial"/>
        </w:rPr>
        <w:t xml:space="preserve"> </w:t>
      </w:r>
      <w:r w:rsidR="007E4EE9" w:rsidRPr="003A7D62">
        <w:rPr>
          <w:rFonts w:cs="Arial"/>
        </w:rPr>
        <w:t>Current law requires filling station owners and lessors to install fuel capacity based on the number of stations owned, but proposed amendments</w:t>
      </w:r>
      <w:r w:rsidR="00B37D1F" w:rsidRPr="003A7D62">
        <w:rPr>
          <w:rFonts w:cs="Arial"/>
        </w:rPr>
        <w:t xml:space="preserve"> scheduled for </w:t>
      </w:r>
      <w:r w:rsidR="00B37D1F" w:rsidRPr="003A7D62">
        <w:rPr>
          <w:rFonts w:cs="Arial"/>
        </w:rPr>
        <w:lastRenderedPageBreak/>
        <w:t>consideration in June 2013</w:t>
      </w:r>
      <w:r w:rsidR="007E4EE9" w:rsidRPr="003A7D62">
        <w:rPr>
          <w:rFonts w:cs="Arial"/>
        </w:rPr>
        <w:t xml:space="preserve"> would shift the compliance burden to companies that import or refine oil based on their share of the gasoline market.</w:t>
      </w:r>
      <w:r w:rsidR="00B37D1F" w:rsidRPr="003A7D62">
        <w:rPr>
          <w:rStyle w:val="FootnoteReference"/>
          <w:rFonts w:cs="Arial"/>
        </w:rPr>
        <w:footnoteReference w:id="129"/>
      </w:r>
      <w:r w:rsidR="00C12103" w:rsidRPr="003A7D62">
        <w:rPr>
          <w:rFonts w:cs="Arial"/>
          <w:b/>
          <w:szCs w:val="24"/>
        </w:rPr>
        <w:br w:type="page"/>
      </w:r>
    </w:p>
    <w:p w:rsidR="00473E40" w:rsidRPr="008720F3" w:rsidRDefault="00473E40" w:rsidP="003A7D62">
      <w:pPr>
        <w:pStyle w:val="Heading1"/>
      </w:pPr>
      <w:bookmarkStart w:id="45" w:name="_Toc352854200"/>
      <w:r w:rsidRPr="008720F3">
        <w:lastRenderedPageBreak/>
        <w:t>FUTURE INFRASTRUCTURE INVESTMENT</w:t>
      </w:r>
      <w:bookmarkEnd w:id="45"/>
    </w:p>
    <w:p w:rsidR="00473E40" w:rsidRPr="003A7D62" w:rsidRDefault="00473E40" w:rsidP="00473E40">
      <w:pPr>
        <w:rPr>
          <w:rFonts w:cs="Arial"/>
          <w:szCs w:val="24"/>
        </w:rPr>
      </w:pPr>
      <w:r w:rsidRPr="003A7D62">
        <w:rPr>
          <w:rFonts w:cs="Arial"/>
          <w:szCs w:val="24"/>
        </w:rPr>
        <w:t xml:space="preserve">The cost of fuel production and distribution infrastructure to support the adoption of alternative fuel vehicles has been calculated in the past by various organizations, such as </w:t>
      </w:r>
      <w:r w:rsidR="00526484" w:rsidRPr="003A7D62">
        <w:rPr>
          <w:rFonts w:cs="Arial"/>
          <w:szCs w:val="24"/>
        </w:rPr>
        <w:t xml:space="preserve">Argonne National Laboratory, </w:t>
      </w:r>
      <w:r w:rsidRPr="003A7D62">
        <w:rPr>
          <w:rFonts w:cs="Arial"/>
          <w:szCs w:val="24"/>
        </w:rPr>
        <w:t>the National Petroleum Council (NPC)</w:t>
      </w:r>
      <w:r w:rsidR="00D839B9" w:rsidRPr="003A7D62">
        <w:rPr>
          <w:rFonts w:cs="Arial"/>
          <w:szCs w:val="24"/>
        </w:rPr>
        <w:t xml:space="preserve">, </w:t>
      </w:r>
      <w:r w:rsidR="00526484" w:rsidRPr="003A7D62">
        <w:rPr>
          <w:rFonts w:cs="Arial"/>
          <w:szCs w:val="24"/>
        </w:rPr>
        <w:t>the UC Davis Institute of Transportation Studies</w:t>
      </w:r>
      <w:r w:rsidR="00D839B9" w:rsidRPr="003A7D62">
        <w:rPr>
          <w:rFonts w:cs="Arial"/>
          <w:szCs w:val="24"/>
        </w:rPr>
        <w:t>, and the National Academy of Sciences</w:t>
      </w:r>
      <w:r w:rsidRPr="003A7D62">
        <w:rPr>
          <w:rFonts w:cs="Arial"/>
          <w:szCs w:val="24"/>
        </w:rPr>
        <w:t>.</w:t>
      </w:r>
      <w:r w:rsidRPr="003A7D62">
        <w:rPr>
          <w:rStyle w:val="FootnoteReference"/>
          <w:rFonts w:cs="Arial"/>
          <w:szCs w:val="24"/>
        </w:rPr>
        <w:footnoteReference w:id="130"/>
      </w:r>
      <w:r w:rsidRPr="003A7D62">
        <w:rPr>
          <w:rFonts w:cs="Arial"/>
          <w:szCs w:val="24"/>
        </w:rPr>
        <w:t xml:space="preserve"> There are a variety of methods that can be used to determine the number of stations needed to supply a particular alternative fuel to vehicles. Some approaches rely on </w:t>
      </w:r>
      <w:r w:rsidR="0041262E" w:rsidRPr="003A7D62">
        <w:rPr>
          <w:rFonts w:cs="Arial"/>
          <w:szCs w:val="24"/>
        </w:rPr>
        <w:t xml:space="preserve">the </w:t>
      </w:r>
      <w:r w:rsidRPr="003A7D62">
        <w:rPr>
          <w:rFonts w:cs="Arial"/>
          <w:szCs w:val="24"/>
        </w:rPr>
        <w:t>vehicle driving range and network path distance to determine the number and placement of stations needed to cover a certain area,</w:t>
      </w:r>
      <w:r w:rsidRPr="003A7D62">
        <w:rPr>
          <w:rStyle w:val="FootnoteReference"/>
          <w:rFonts w:cs="Arial"/>
          <w:szCs w:val="24"/>
        </w:rPr>
        <w:footnoteReference w:id="131"/>
      </w:r>
      <w:r w:rsidRPr="003A7D62">
        <w:rPr>
          <w:rFonts w:cs="Arial"/>
          <w:szCs w:val="24"/>
        </w:rPr>
        <w:t xml:space="preserve"> while others use estimated fuel demand to determine the number of stations needed.</w:t>
      </w:r>
    </w:p>
    <w:p w:rsidR="00473E40" w:rsidRPr="003A7D62" w:rsidRDefault="00473E40" w:rsidP="00473E40">
      <w:pPr>
        <w:rPr>
          <w:rFonts w:cs="Arial"/>
          <w:szCs w:val="24"/>
        </w:rPr>
      </w:pPr>
      <w:r w:rsidRPr="003A7D62">
        <w:rPr>
          <w:rFonts w:cs="Arial"/>
          <w:szCs w:val="24"/>
        </w:rPr>
        <w:t xml:space="preserve">The analysis used in this paper specifically examines </w:t>
      </w:r>
      <w:r w:rsidR="00A87565" w:rsidRPr="003A7D62">
        <w:rPr>
          <w:rFonts w:cs="Arial"/>
          <w:szCs w:val="24"/>
        </w:rPr>
        <w:t xml:space="preserve">the </w:t>
      </w:r>
      <w:r w:rsidRPr="003A7D62">
        <w:rPr>
          <w:rFonts w:cs="Arial"/>
          <w:szCs w:val="24"/>
        </w:rPr>
        <w:t xml:space="preserve">amount and cost of </w:t>
      </w:r>
      <w:r w:rsidR="00A87565" w:rsidRPr="003A7D62">
        <w:rPr>
          <w:rFonts w:cs="Arial"/>
          <w:szCs w:val="24"/>
        </w:rPr>
        <w:t xml:space="preserve">an </w:t>
      </w:r>
      <w:r w:rsidRPr="003A7D62">
        <w:rPr>
          <w:rFonts w:cs="Arial"/>
          <w:szCs w:val="24"/>
        </w:rPr>
        <w:t xml:space="preserve">alternative fuel dispensing infrastructure. It is based on a </w:t>
      </w:r>
      <w:r w:rsidR="00F017EB" w:rsidRPr="003A7D62">
        <w:rPr>
          <w:rFonts w:cs="Arial"/>
          <w:szCs w:val="24"/>
        </w:rPr>
        <w:t>modified version of the methods</w:t>
      </w:r>
      <w:r w:rsidRPr="003A7D62">
        <w:rPr>
          <w:rFonts w:cs="Arial"/>
          <w:szCs w:val="24"/>
        </w:rPr>
        <w:t xml:space="preserve"> used by the California </w:t>
      </w:r>
      <w:r w:rsidRPr="003A7D62">
        <w:rPr>
          <w:rFonts w:cs="Arial"/>
          <w:i/>
          <w:szCs w:val="24"/>
        </w:rPr>
        <w:t>Clean Fuels Outlet Regulation</w:t>
      </w:r>
      <w:r w:rsidRPr="003A7D62">
        <w:rPr>
          <w:rFonts w:cs="Arial"/>
          <w:szCs w:val="24"/>
        </w:rPr>
        <w:t xml:space="preserve"> to set requirements in California for the number of stations which must provide various alternative fuels.</w:t>
      </w:r>
      <w:r w:rsidRPr="003A7D62">
        <w:rPr>
          <w:rStyle w:val="FootnoteReference"/>
          <w:rFonts w:cs="Arial"/>
          <w:szCs w:val="24"/>
        </w:rPr>
        <w:footnoteReference w:id="132"/>
      </w:r>
      <w:r w:rsidRPr="003A7D62">
        <w:rPr>
          <w:rFonts w:cs="Arial"/>
          <w:szCs w:val="24"/>
        </w:rPr>
        <w:t xml:space="preserve"> The analysis also uses cost estimates for installing equipment for various fuels at stations. </w:t>
      </w:r>
    </w:p>
    <w:p w:rsidR="00473E40" w:rsidRPr="008720F3" w:rsidRDefault="00473E40" w:rsidP="003A7D62">
      <w:pPr>
        <w:pStyle w:val="Heading2"/>
      </w:pPr>
      <w:bookmarkStart w:id="46" w:name="_Toc352854201"/>
      <w:r w:rsidRPr="008720F3">
        <w:t>Clean Fuels Outlet Regulation</w:t>
      </w:r>
      <w:bookmarkEnd w:id="46"/>
    </w:p>
    <w:p w:rsidR="00F017EB" w:rsidRPr="003A7D62" w:rsidRDefault="00682BA3" w:rsidP="00473E40">
      <w:pPr>
        <w:rPr>
          <w:rFonts w:cs="Arial"/>
          <w:szCs w:val="24"/>
        </w:rPr>
      </w:pPr>
      <w:r w:rsidRPr="003A7D62">
        <w:rPr>
          <w:rFonts w:cs="Arial"/>
          <w:szCs w:val="24"/>
        </w:rPr>
        <w:t xml:space="preserve">The CFOR mandates </w:t>
      </w:r>
      <w:r w:rsidR="00473E40" w:rsidRPr="003A7D62">
        <w:rPr>
          <w:rFonts w:cs="Arial"/>
          <w:szCs w:val="24"/>
        </w:rPr>
        <w:t xml:space="preserve">a minimum number of retail fueling stations </w:t>
      </w:r>
      <w:r w:rsidRPr="003A7D62">
        <w:rPr>
          <w:rFonts w:cs="Arial"/>
          <w:szCs w:val="24"/>
        </w:rPr>
        <w:t xml:space="preserve">that must </w:t>
      </w:r>
      <w:r w:rsidR="00473E40" w:rsidRPr="003A7D62">
        <w:rPr>
          <w:rFonts w:cs="Arial"/>
          <w:szCs w:val="24"/>
        </w:rPr>
        <w:t xml:space="preserve">provide a </w:t>
      </w:r>
      <w:r w:rsidRPr="003A7D62">
        <w:rPr>
          <w:rFonts w:cs="Arial"/>
          <w:szCs w:val="24"/>
        </w:rPr>
        <w:t>designated alternative fuel, based on the</w:t>
      </w:r>
      <w:r w:rsidR="00473E40" w:rsidRPr="003A7D62">
        <w:rPr>
          <w:rFonts w:cs="Arial"/>
          <w:szCs w:val="24"/>
        </w:rPr>
        <w:t xml:space="preserve"> number of vehicles using that fuel. </w:t>
      </w:r>
      <w:r w:rsidR="00F017EB" w:rsidRPr="003A7D62">
        <w:rPr>
          <w:rFonts w:cs="Arial"/>
          <w:szCs w:val="24"/>
        </w:rPr>
        <w:t>A more detailed explanation of</w:t>
      </w:r>
      <w:r w:rsidR="00073903">
        <w:rPr>
          <w:rFonts w:cs="Arial"/>
          <w:szCs w:val="24"/>
        </w:rPr>
        <w:t xml:space="preserve"> CFOR can be found in Appendix C</w:t>
      </w:r>
      <w:r w:rsidR="00F017EB" w:rsidRPr="003A7D62">
        <w:rPr>
          <w:rFonts w:cs="Arial"/>
          <w:szCs w:val="24"/>
        </w:rPr>
        <w:t xml:space="preserve">. </w:t>
      </w:r>
    </w:p>
    <w:p w:rsidR="00F017EB" w:rsidRPr="003A7D62" w:rsidRDefault="00473E40" w:rsidP="00473E40">
      <w:pPr>
        <w:rPr>
          <w:rFonts w:cs="Arial"/>
          <w:szCs w:val="24"/>
        </w:rPr>
      </w:pPr>
      <w:r w:rsidRPr="003A7D62">
        <w:rPr>
          <w:rFonts w:cs="Arial"/>
          <w:szCs w:val="24"/>
        </w:rPr>
        <w:t xml:space="preserve">The station count mandate does not apply until the statewide number of vehicles utilizing a fuel is at least 20,000 vehicles. </w:t>
      </w:r>
      <w:r w:rsidR="00F017EB" w:rsidRPr="003A7D62">
        <w:rPr>
          <w:rFonts w:cs="Arial"/>
          <w:szCs w:val="24"/>
        </w:rPr>
        <w:t>The number of AFVs on the road is used to calculate</w:t>
      </w:r>
      <w:r w:rsidR="00682BA3" w:rsidRPr="003A7D62">
        <w:rPr>
          <w:rFonts w:cs="Arial"/>
          <w:szCs w:val="24"/>
        </w:rPr>
        <w:t xml:space="preserve"> expected annual fuel </w:t>
      </w:r>
      <w:r w:rsidR="00F017EB" w:rsidRPr="003A7D62">
        <w:rPr>
          <w:rFonts w:cs="Arial"/>
          <w:szCs w:val="24"/>
        </w:rPr>
        <w:t xml:space="preserve">demand, which is </w:t>
      </w:r>
      <w:r w:rsidR="00A87565" w:rsidRPr="003A7D62">
        <w:rPr>
          <w:rFonts w:cs="Arial"/>
          <w:szCs w:val="24"/>
        </w:rPr>
        <w:t xml:space="preserve">then </w:t>
      </w:r>
      <w:r w:rsidR="00F017EB" w:rsidRPr="003A7D62">
        <w:rPr>
          <w:rFonts w:cs="Arial"/>
          <w:szCs w:val="24"/>
        </w:rPr>
        <w:t xml:space="preserve">divided by expected capacity per station to generate the number of required stations. </w:t>
      </w:r>
    </w:p>
    <w:p w:rsidR="00473E40" w:rsidRPr="003A7D62" w:rsidRDefault="00473E40" w:rsidP="00473E40">
      <w:pPr>
        <w:rPr>
          <w:rFonts w:cs="Arial"/>
          <w:szCs w:val="24"/>
        </w:rPr>
      </w:pPr>
      <w:r w:rsidRPr="003A7D62">
        <w:rPr>
          <w:rFonts w:cs="Arial"/>
        </w:rPr>
        <w:t xml:space="preserve">For liquid fuels, </w:t>
      </w:r>
      <w:r w:rsidR="00F017EB" w:rsidRPr="003A7D62">
        <w:rPr>
          <w:rFonts w:cs="Arial"/>
        </w:rPr>
        <w:t xml:space="preserve">each station is assumed to provide </w:t>
      </w:r>
      <w:r w:rsidRPr="003A7D62">
        <w:rPr>
          <w:rFonts w:cs="Arial"/>
        </w:rPr>
        <w:t xml:space="preserve">300,000 </w:t>
      </w:r>
      <w:r w:rsidR="00575998" w:rsidRPr="003A7D62">
        <w:rPr>
          <w:rFonts w:cs="Arial"/>
        </w:rPr>
        <w:t>GGEs</w:t>
      </w:r>
      <w:r w:rsidRPr="003A7D62">
        <w:rPr>
          <w:rFonts w:cs="Arial"/>
        </w:rPr>
        <w:t xml:space="preserve"> per year, until the number of vehicles </w:t>
      </w:r>
      <w:r w:rsidR="00A87565" w:rsidRPr="003A7D62">
        <w:rPr>
          <w:rFonts w:cs="Arial"/>
        </w:rPr>
        <w:t xml:space="preserve">is </w:t>
      </w:r>
      <w:r w:rsidR="00F017EB" w:rsidRPr="003A7D62">
        <w:rPr>
          <w:rFonts w:cs="Arial"/>
        </w:rPr>
        <w:t>sufficiently high to require</w:t>
      </w:r>
      <w:r w:rsidRPr="003A7D62">
        <w:rPr>
          <w:rFonts w:cs="Arial"/>
        </w:rPr>
        <w:t xml:space="preserve"> 5 percent of all retail gasoline outlets to stock the fuel. At this point, </w:t>
      </w:r>
      <w:r w:rsidR="00F017EB" w:rsidRPr="003A7D62">
        <w:rPr>
          <w:rFonts w:cs="Arial"/>
        </w:rPr>
        <w:t>it is assumed that each</w:t>
      </w:r>
      <w:r w:rsidRPr="003A7D62">
        <w:rPr>
          <w:rFonts w:cs="Arial"/>
        </w:rPr>
        <w:t xml:space="preserve"> </w:t>
      </w:r>
      <w:r w:rsidR="00F017EB" w:rsidRPr="003A7D62">
        <w:rPr>
          <w:rFonts w:cs="Arial"/>
        </w:rPr>
        <w:t>s</w:t>
      </w:r>
      <w:r w:rsidRPr="003A7D62">
        <w:rPr>
          <w:rFonts w:cs="Arial"/>
        </w:rPr>
        <w:t xml:space="preserve">tation </w:t>
      </w:r>
      <w:r w:rsidR="00F017EB" w:rsidRPr="003A7D62">
        <w:rPr>
          <w:rFonts w:cs="Arial"/>
        </w:rPr>
        <w:t>provides</w:t>
      </w:r>
      <w:r w:rsidRPr="003A7D62">
        <w:rPr>
          <w:rFonts w:cs="Arial"/>
        </w:rPr>
        <w:t xml:space="preserve"> 600,000 GGEs. For fuels dispensed as a gas </w:t>
      </w:r>
      <w:r w:rsidR="00F017EB" w:rsidRPr="003A7D62">
        <w:rPr>
          <w:rFonts w:cs="Arial"/>
        </w:rPr>
        <w:t>it is assumed that each station provides</w:t>
      </w:r>
      <w:r w:rsidRPr="003A7D62">
        <w:rPr>
          <w:rFonts w:cs="Arial"/>
        </w:rPr>
        <w:t xml:space="preserve"> 400,000 therms, or 456,000 GGEs</w:t>
      </w:r>
      <w:r w:rsidR="00F017EB" w:rsidRPr="003A7D62">
        <w:rPr>
          <w:rFonts w:cs="Arial"/>
        </w:rPr>
        <w:t xml:space="preserve"> annually</w:t>
      </w:r>
      <w:r w:rsidRPr="003A7D62">
        <w:rPr>
          <w:rFonts w:cs="Arial"/>
        </w:rPr>
        <w:t>.</w:t>
      </w:r>
      <w:r w:rsidRPr="003A7D62">
        <w:rPr>
          <w:rStyle w:val="FootnoteReference"/>
          <w:rFonts w:cs="Arial"/>
        </w:rPr>
        <w:footnoteReference w:id="133"/>
      </w:r>
    </w:p>
    <w:p w:rsidR="00D44EFA" w:rsidRPr="008720F3" w:rsidRDefault="00D44EFA" w:rsidP="003A7D62">
      <w:pPr>
        <w:pStyle w:val="Heading2"/>
      </w:pPr>
      <w:bookmarkStart w:id="47" w:name="_Toc352854202"/>
      <w:r w:rsidRPr="008720F3">
        <w:lastRenderedPageBreak/>
        <w:t>Required Infrastructure</w:t>
      </w:r>
      <w:bookmarkEnd w:id="47"/>
    </w:p>
    <w:p w:rsidR="008D0F3F" w:rsidRPr="003A7D62" w:rsidRDefault="00D44EFA" w:rsidP="00832153">
      <w:pPr>
        <w:rPr>
          <w:rFonts w:cs="Arial"/>
          <w:i/>
          <w:sz w:val="20"/>
          <w:szCs w:val="24"/>
        </w:rPr>
      </w:pPr>
      <w:r w:rsidRPr="003A7D62">
        <w:rPr>
          <w:rFonts w:cs="Arial"/>
          <w:szCs w:val="24"/>
        </w:rPr>
        <w:t>Using the CFOR assumptions as a guideline, calculations were made to determine the ratio of light-duty vehicles to fueling stations</w:t>
      </w:r>
      <w:r w:rsidR="00A87565" w:rsidRPr="003A7D62">
        <w:rPr>
          <w:rFonts w:cs="Arial"/>
          <w:szCs w:val="24"/>
        </w:rPr>
        <w:t>,</w:t>
      </w:r>
      <w:r w:rsidRPr="003A7D62">
        <w:rPr>
          <w:rFonts w:cs="Arial"/>
          <w:szCs w:val="24"/>
        </w:rPr>
        <w:t xml:space="preserve"> for each fuel type. The calculations also required assumptions on fleet average fuel economy for each fuel. California’s assumed fuel supply capacity of 300,000 GGEs/year for liquid fuel was used </w:t>
      </w:r>
      <w:r w:rsidR="00A87565" w:rsidRPr="003A7D62">
        <w:rPr>
          <w:rFonts w:cs="Arial"/>
          <w:szCs w:val="24"/>
        </w:rPr>
        <w:t xml:space="preserve">for </w:t>
      </w:r>
      <w:r w:rsidRPr="003A7D62">
        <w:rPr>
          <w:rFonts w:cs="Arial"/>
          <w:szCs w:val="24"/>
        </w:rPr>
        <w:t xml:space="preserve">E85 stations and 456,000 GGE/year for gaseous fuel was used for CNG stations. </w:t>
      </w:r>
    </w:p>
    <w:p w:rsidR="00D44EFA" w:rsidRPr="003A7D62" w:rsidRDefault="00D44EFA" w:rsidP="00D44EFA">
      <w:pPr>
        <w:rPr>
          <w:rFonts w:cs="Arial"/>
          <w:szCs w:val="24"/>
        </w:rPr>
      </w:pPr>
      <w:r w:rsidRPr="003A7D62">
        <w:rPr>
          <w:rFonts w:cs="Arial"/>
          <w:szCs w:val="24"/>
        </w:rPr>
        <w:t>Stations with electric chargers were assumed to have charging capacity such that</w:t>
      </w:r>
      <w:r w:rsidR="00A87565" w:rsidRPr="003A7D62">
        <w:rPr>
          <w:rFonts w:cs="Arial"/>
          <w:szCs w:val="24"/>
        </w:rPr>
        <w:t>,</w:t>
      </w:r>
      <w:r w:rsidRPr="003A7D62">
        <w:rPr>
          <w:rFonts w:cs="Arial"/>
          <w:szCs w:val="24"/>
        </w:rPr>
        <w:t xml:space="preserve"> over the course of a year, they could provide enough electricity to allow an electric vehicle to travel as far as an average gasoline vehicle could with 300,000 gallons of gasoline. Using this assumption, stations with electric recharging equipment would each be equ</w:t>
      </w:r>
      <w:r w:rsidR="003B64BF">
        <w:rPr>
          <w:rFonts w:cs="Arial"/>
          <w:szCs w:val="24"/>
        </w:rPr>
        <w:t>ipped with just over six Level 2 DC</w:t>
      </w:r>
      <w:r w:rsidRPr="003A7D62">
        <w:rPr>
          <w:rFonts w:cs="Arial"/>
          <w:szCs w:val="24"/>
        </w:rPr>
        <w:t xml:space="preserve"> charging outlets per station. </w:t>
      </w:r>
    </w:p>
    <w:p w:rsidR="009F6661" w:rsidRDefault="00D44EFA">
      <w:pPr>
        <w:rPr>
          <w:rFonts w:cs="Arial"/>
          <w:szCs w:val="24"/>
        </w:rPr>
      </w:pPr>
      <w:r w:rsidRPr="003A7D62">
        <w:rPr>
          <w:rFonts w:cs="Arial"/>
          <w:szCs w:val="24"/>
        </w:rPr>
        <w:t>If a hydrogen vehicle with a fuel economy of 60 miles/kg H</w:t>
      </w:r>
      <w:r w:rsidRPr="003A7D62">
        <w:rPr>
          <w:rFonts w:cs="Arial"/>
          <w:szCs w:val="24"/>
          <w:vertAlign w:val="subscript"/>
        </w:rPr>
        <w:t>2</w:t>
      </w:r>
      <w:r w:rsidRPr="003A7D62">
        <w:rPr>
          <w:rFonts w:cs="Arial"/>
          <w:szCs w:val="24"/>
        </w:rPr>
        <w:t xml:space="preserve"> were to travel as far as a gasoline vehicle with a fuel economy of 27.2 mpg </w:t>
      </w:r>
      <w:r w:rsidR="008827F1" w:rsidRPr="003A7D62">
        <w:rPr>
          <w:rFonts w:cs="Arial"/>
          <w:szCs w:val="24"/>
        </w:rPr>
        <w:t>using</w:t>
      </w:r>
      <w:r w:rsidRPr="003A7D62">
        <w:rPr>
          <w:rFonts w:cs="Arial"/>
          <w:szCs w:val="24"/>
        </w:rPr>
        <w:t xml:space="preserve"> 300,000 gallons of gasoline, it would require approximately 136,000 kg of hydrogen. Early hydrogen stations are assumed to have a capacity of approximately 160 kg H</w:t>
      </w:r>
      <w:r w:rsidRPr="003A7D62">
        <w:rPr>
          <w:rFonts w:cs="Arial"/>
          <w:szCs w:val="24"/>
          <w:vertAlign w:val="subscript"/>
        </w:rPr>
        <w:t>2</w:t>
      </w:r>
      <w:r w:rsidRPr="003A7D62">
        <w:rPr>
          <w:rFonts w:cs="Arial"/>
          <w:szCs w:val="24"/>
        </w:rPr>
        <w:t>/day, or 58,400 kg H</w:t>
      </w:r>
      <w:r w:rsidRPr="003A7D62">
        <w:rPr>
          <w:rFonts w:cs="Arial"/>
          <w:szCs w:val="24"/>
          <w:vertAlign w:val="subscript"/>
        </w:rPr>
        <w:t>2</w:t>
      </w:r>
      <w:r w:rsidRPr="003A7D62">
        <w:rPr>
          <w:rFonts w:cs="Arial"/>
          <w:szCs w:val="24"/>
        </w:rPr>
        <w:t xml:space="preserve">/year. The lower capacity of hydrogen refueling stations implies that 2.33 times as many hydrogen refueling stations </w:t>
      </w:r>
      <w:r w:rsidR="008827F1" w:rsidRPr="003A7D62">
        <w:rPr>
          <w:rFonts w:cs="Arial"/>
          <w:szCs w:val="24"/>
        </w:rPr>
        <w:t>would</w:t>
      </w:r>
      <w:r w:rsidRPr="003A7D62">
        <w:rPr>
          <w:rFonts w:cs="Arial"/>
          <w:szCs w:val="24"/>
        </w:rPr>
        <w:t xml:space="preserve"> be required to provide 300,000 GGEs/year.</w:t>
      </w:r>
      <w:r w:rsidRPr="003A7D62">
        <w:rPr>
          <w:rStyle w:val="FootnoteReference"/>
          <w:rFonts w:cs="Arial"/>
          <w:szCs w:val="24"/>
        </w:rPr>
        <w:footnoteReference w:id="134"/>
      </w:r>
    </w:p>
    <w:p w:rsidR="00D44EFA" w:rsidRPr="003A7D62" w:rsidRDefault="00D44EFA" w:rsidP="00201DEC">
      <w:pPr>
        <w:keepNext/>
        <w:rPr>
          <w:rFonts w:cs="Arial"/>
          <w:szCs w:val="24"/>
        </w:rPr>
      </w:pPr>
      <w:r w:rsidRPr="003A7D62">
        <w:rPr>
          <w:rFonts w:cs="Arial"/>
          <w:szCs w:val="24"/>
        </w:rPr>
        <w:t>For a given fuel type, the number of stations required is calculated using the expression:</w:t>
      </w:r>
    </w:p>
    <w:p w:rsidR="00D44EFA" w:rsidRPr="00E3348C" w:rsidRDefault="00D44EFA" w:rsidP="00D44EFA">
      <w:pPr>
        <w:spacing w:after="0" w:line="240" w:lineRule="auto"/>
        <w:rPr>
          <w:rFonts w:ascii="Arial" w:hAnsi="Arial" w:cs="Arial"/>
          <w:sz w:val="20"/>
        </w:rPr>
      </w:pPr>
      <m:oMathPara>
        <m:oMath>
          <m:r>
            <m:rPr>
              <m:sty m:val="p"/>
            </m:rPr>
            <w:rPr>
              <w:rFonts w:ascii="Cambria Math" w:hAnsi="Cambria Math" w:cs="Arial"/>
              <w:sz w:val="20"/>
            </w:rPr>
            <m:t xml:space="preserve">Number of Stations Required= </m:t>
          </m:r>
          <m:f>
            <m:fPr>
              <m:ctrlPr>
                <w:rPr>
                  <w:rFonts w:ascii="Cambria Math" w:hAnsi="Cambria Math" w:cs="Arial"/>
                  <w:sz w:val="20"/>
                </w:rPr>
              </m:ctrlPr>
            </m:fPr>
            <m:num>
              <m:f>
                <m:fPr>
                  <m:ctrlPr>
                    <w:rPr>
                      <w:rFonts w:ascii="Cambria Math" w:hAnsi="Cambria Math" w:cs="Arial"/>
                      <w:i/>
                      <w:sz w:val="20"/>
                    </w:rPr>
                  </m:ctrlPr>
                </m:fPr>
                <m:num>
                  <m:r>
                    <w:rPr>
                      <w:rFonts w:ascii="Cambria Math" w:hAnsi="Cambria Math" w:cs="Arial"/>
                      <w:sz w:val="20"/>
                    </w:rPr>
                    <m:t>AVMT*LDV</m:t>
                  </m:r>
                </m:num>
                <m:den>
                  <m:r>
                    <w:rPr>
                      <w:rFonts w:ascii="Cambria Math" w:hAnsi="Cambria Math" w:cs="Arial"/>
                      <w:sz w:val="20"/>
                    </w:rPr>
                    <m:t>MPG/e</m:t>
                  </m:r>
                </m:den>
              </m:f>
              <m:r>
                <w:rPr>
                  <w:rFonts w:ascii="Cambria Math" w:hAnsi="Cambria Math" w:cs="Arial"/>
                  <w:sz w:val="20"/>
                </w:rPr>
                <m:t xml:space="preserve"> </m:t>
              </m:r>
            </m:num>
            <m:den>
              <m:r>
                <w:rPr>
                  <w:rFonts w:ascii="Cambria Math" w:hAnsi="Cambria Math" w:cs="Arial"/>
                  <w:sz w:val="20"/>
                </w:rPr>
                <m:t>Average Fuel Volume per Sta</m:t>
              </m:r>
              <m:r>
                <w:rPr>
                  <w:rFonts w:ascii="Cambria Math" w:hAnsi="Cambria Math" w:cs="Arial"/>
                  <w:sz w:val="20"/>
                </w:rPr>
                <m:t>tion</m:t>
              </m:r>
            </m:den>
          </m:f>
        </m:oMath>
      </m:oMathPara>
    </w:p>
    <w:p w:rsidR="00D44EFA" w:rsidRPr="008720F3" w:rsidRDefault="00D44EFA" w:rsidP="00D44EFA">
      <w:pPr>
        <w:spacing w:line="240" w:lineRule="auto"/>
        <w:rPr>
          <w:rFonts w:cs="Arial"/>
          <w:i/>
          <w:sz w:val="20"/>
        </w:rPr>
      </w:pPr>
      <w:r w:rsidRPr="008720F3">
        <w:rPr>
          <w:rFonts w:cs="Arial"/>
          <w:i/>
          <w:sz w:val="20"/>
        </w:rPr>
        <w:t>Where:</w:t>
      </w:r>
    </w:p>
    <w:p w:rsidR="00D44EFA" w:rsidRPr="008720F3" w:rsidRDefault="00E3348C" w:rsidP="00D44EFA">
      <w:pPr>
        <w:spacing w:after="0" w:line="240" w:lineRule="auto"/>
        <w:rPr>
          <w:rFonts w:cs="Arial"/>
          <w:sz w:val="20"/>
          <w:szCs w:val="24"/>
        </w:rPr>
      </w:pPr>
      <w:r w:rsidRPr="008720F3">
        <w:rPr>
          <w:rFonts w:cs="Arial"/>
          <w:sz w:val="20"/>
        </w:rPr>
        <w:t>AVMT</w:t>
      </w:r>
      <w:r w:rsidRPr="008720F3">
        <w:rPr>
          <w:rFonts w:cs="Arial"/>
          <w:sz w:val="20"/>
        </w:rPr>
        <w:tab/>
      </w:r>
      <w:r w:rsidR="00D44EFA" w:rsidRPr="008720F3">
        <w:rPr>
          <w:rFonts w:cs="Arial"/>
          <w:sz w:val="20"/>
        </w:rPr>
        <w:t xml:space="preserve">= Average </w:t>
      </w:r>
      <w:r w:rsidRPr="008720F3">
        <w:rPr>
          <w:rFonts w:cs="Arial"/>
          <w:sz w:val="20"/>
          <w:szCs w:val="24"/>
        </w:rPr>
        <w:t>vehicle miles t</w:t>
      </w:r>
      <w:r w:rsidR="00D44EFA" w:rsidRPr="008720F3">
        <w:rPr>
          <w:rFonts w:cs="Arial"/>
          <w:sz w:val="20"/>
          <w:szCs w:val="24"/>
        </w:rPr>
        <w:t>raveled</w:t>
      </w:r>
    </w:p>
    <w:p w:rsidR="00D44EFA" w:rsidRPr="008720F3" w:rsidRDefault="00E3348C" w:rsidP="00D44EFA">
      <w:pPr>
        <w:spacing w:after="0" w:line="240" w:lineRule="auto"/>
        <w:rPr>
          <w:rFonts w:cs="Arial"/>
          <w:sz w:val="20"/>
          <w:szCs w:val="24"/>
        </w:rPr>
      </w:pPr>
      <w:r w:rsidRPr="008720F3">
        <w:rPr>
          <w:rFonts w:cs="Arial"/>
          <w:sz w:val="20"/>
          <w:szCs w:val="24"/>
        </w:rPr>
        <w:t>LDV</w:t>
      </w:r>
      <w:r w:rsidRPr="008720F3">
        <w:rPr>
          <w:rFonts w:cs="Arial"/>
          <w:sz w:val="20"/>
          <w:szCs w:val="24"/>
        </w:rPr>
        <w:tab/>
        <w:t>= Number of light-duty v</w:t>
      </w:r>
      <w:r w:rsidR="00D44EFA" w:rsidRPr="008720F3">
        <w:rPr>
          <w:rFonts w:cs="Arial"/>
          <w:sz w:val="20"/>
          <w:szCs w:val="24"/>
        </w:rPr>
        <w:t>ehicles, including passenger cars and light-duty trucks</w:t>
      </w:r>
    </w:p>
    <w:p w:rsidR="00D44EFA" w:rsidRPr="008720F3" w:rsidRDefault="00E3348C" w:rsidP="00D44EFA">
      <w:pPr>
        <w:spacing w:line="240" w:lineRule="auto"/>
        <w:rPr>
          <w:rFonts w:cs="Arial"/>
          <w:sz w:val="20"/>
          <w:szCs w:val="24"/>
        </w:rPr>
      </w:pPr>
      <w:r w:rsidRPr="008720F3">
        <w:rPr>
          <w:rFonts w:cs="Arial"/>
          <w:sz w:val="20"/>
          <w:szCs w:val="24"/>
        </w:rPr>
        <w:t>MPG/e</w:t>
      </w:r>
      <w:r w:rsidRPr="008720F3">
        <w:rPr>
          <w:rFonts w:cs="Arial"/>
          <w:sz w:val="20"/>
          <w:szCs w:val="24"/>
        </w:rPr>
        <w:tab/>
        <w:t>= Miles per gallon e</w:t>
      </w:r>
      <w:r w:rsidR="00D44EFA" w:rsidRPr="008720F3">
        <w:rPr>
          <w:rFonts w:cs="Arial"/>
          <w:sz w:val="20"/>
          <w:szCs w:val="24"/>
        </w:rPr>
        <w:t>quivalent</w:t>
      </w:r>
    </w:p>
    <w:p w:rsidR="00D44EFA" w:rsidRPr="003A7D62" w:rsidRDefault="00D44EFA" w:rsidP="00D44EFA">
      <w:pPr>
        <w:rPr>
          <w:rFonts w:cs="Arial"/>
          <w:szCs w:val="24"/>
        </w:rPr>
      </w:pPr>
      <w:r w:rsidRPr="003A7D62">
        <w:rPr>
          <w:rFonts w:cs="Arial"/>
          <w:szCs w:val="24"/>
        </w:rPr>
        <w:t>Unlike the California law, for this paper there is no distinction made between fleet vehicles and vehicles owned by individuals. Infrastructure estimates for this paper can be interpreted as including both private and public refueling infrastructure</w:t>
      </w:r>
      <w:r w:rsidR="00537BC9" w:rsidRPr="003A7D62">
        <w:rPr>
          <w:rFonts w:cs="Arial"/>
          <w:szCs w:val="24"/>
        </w:rPr>
        <w:t xml:space="preserve"> (including home refueling systems)</w:t>
      </w:r>
      <w:r w:rsidRPr="003A7D62">
        <w:rPr>
          <w:rFonts w:cs="Arial"/>
          <w:szCs w:val="24"/>
        </w:rPr>
        <w:t xml:space="preserve">. In addition, publicly available data on annual AFV sales or </w:t>
      </w:r>
      <w:r w:rsidR="00033200" w:rsidRPr="003A7D62">
        <w:rPr>
          <w:rFonts w:cs="Arial"/>
          <w:szCs w:val="24"/>
        </w:rPr>
        <w:t xml:space="preserve">the number of </w:t>
      </w:r>
      <w:r w:rsidRPr="003A7D62">
        <w:rPr>
          <w:rFonts w:cs="Arial"/>
          <w:szCs w:val="24"/>
        </w:rPr>
        <w:t>AFV</w:t>
      </w:r>
      <w:r w:rsidR="00033200" w:rsidRPr="003A7D62">
        <w:rPr>
          <w:rFonts w:cs="Arial"/>
          <w:szCs w:val="24"/>
        </w:rPr>
        <w:t>s in operation</w:t>
      </w:r>
      <w:r w:rsidRPr="003A7D62">
        <w:rPr>
          <w:rFonts w:cs="Arial"/>
          <w:szCs w:val="24"/>
        </w:rPr>
        <w:t xml:space="preserve"> frequently does not distinguish between fleet and non-fleet vehicles</w:t>
      </w:r>
      <w:r w:rsidR="008827F1" w:rsidRPr="003A7D62">
        <w:rPr>
          <w:rFonts w:cs="Arial"/>
          <w:szCs w:val="24"/>
        </w:rPr>
        <w:t>.</w:t>
      </w:r>
      <w:r w:rsidRPr="003A7D62">
        <w:rPr>
          <w:rFonts w:cs="Arial"/>
          <w:szCs w:val="24"/>
        </w:rPr>
        <w:t xml:space="preserve"> </w:t>
      </w:r>
      <w:r w:rsidR="008827F1" w:rsidRPr="003A7D62">
        <w:rPr>
          <w:rFonts w:cs="Arial"/>
          <w:szCs w:val="24"/>
        </w:rPr>
        <w:t>T</w:t>
      </w:r>
      <w:r w:rsidRPr="003A7D62">
        <w:rPr>
          <w:rFonts w:cs="Arial"/>
          <w:szCs w:val="24"/>
        </w:rPr>
        <w:t>hus</w:t>
      </w:r>
      <w:r w:rsidR="008827F1" w:rsidRPr="003A7D62">
        <w:rPr>
          <w:rFonts w:cs="Arial"/>
          <w:szCs w:val="24"/>
        </w:rPr>
        <w:t>,</w:t>
      </w:r>
      <w:r w:rsidRPr="003A7D62">
        <w:rPr>
          <w:rFonts w:cs="Arial"/>
          <w:szCs w:val="24"/>
        </w:rPr>
        <w:t xml:space="preserve"> it is reasonable to include them together in calculations.</w:t>
      </w:r>
    </w:p>
    <w:p w:rsidR="00832153" w:rsidRDefault="00832153" w:rsidP="00832153">
      <w:pPr>
        <w:rPr>
          <w:rFonts w:cs="Arial"/>
          <w:szCs w:val="24"/>
        </w:rPr>
      </w:pPr>
      <w:r>
        <w:rPr>
          <w:rFonts w:cs="Arial"/>
          <w:szCs w:val="24"/>
        </w:rPr>
        <w:t xml:space="preserve">Rewriting the above expression in terms of vehicles per required station gives: </w:t>
      </w:r>
    </w:p>
    <w:p w:rsidR="00832153" w:rsidRPr="00E3348C" w:rsidRDefault="00E01A3B" w:rsidP="00832153">
      <w:pPr>
        <w:spacing w:after="0" w:line="240" w:lineRule="auto"/>
        <w:rPr>
          <w:rFonts w:ascii="Arial" w:hAnsi="Arial" w:cs="Arial"/>
          <w:sz w:val="20"/>
        </w:rPr>
      </w:pPr>
      <m:oMathPara>
        <m:oMath>
          <m:f>
            <m:fPr>
              <m:ctrlPr>
                <w:rPr>
                  <w:rFonts w:ascii="Cambria Math" w:hAnsi="Cambria Math" w:cs="Arial"/>
                  <w:sz w:val="20"/>
                </w:rPr>
              </m:ctrlPr>
            </m:fPr>
            <m:num>
              <m:r>
                <w:rPr>
                  <w:rFonts w:ascii="Cambria Math" w:hAnsi="Cambria Math" w:cs="Arial"/>
                  <w:sz w:val="20"/>
                </w:rPr>
                <m:t xml:space="preserve">LDV </m:t>
              </m:r>
            </m:num>
            <m:den>
              <m:r>
                <w:rPr>
                  <w:rFonts w:ascii="Cambria Math" w:hAnsi="Cambria Math" w:cs="Arial"/>
                  <w:sz w:val="20"/>
                </w:rPr>
                <m:t>Required Station</m:t>
              </m:r>
            </m:den>
          </m:f>
          <m:r>
            <m:rPr>
              <m:sty m:val="p"/>
            </m:rPr>
            <w:rPr>
              <w:rFonts w:ascii="Cambria Math" w:hAnsi="Cambria Math" w:cs="Arial"/>
              <w:sz w:val="20"/>
            </w:rPr>
            <m:t xml:space="preserve">= </m:t>
          </m:r>
          <m:f>
            <m:fPr>
              <m:ctrlPr>
                <w:rPr>
                  <w:rFonts w:ascii="Cambria Math" w:hAnsi="Cambria Math" w:cs="Arial"/>
                  <w:sz w:val="20"/>
                </w:rPr>
              </m:ctrlPr>
            </m:fPr>
            <m:num>
              <m:r>
                <w:rPr>
                  <w:rFonts w:ascii="Cambria Math" w:hAnsi="Cambria Math" w:cs="Arial"/>
                  <w:sz w:val="20"/>
                </w:rPr>
                <m:t xml:space="preserve">MPG/e *Average Fuel Volume per Station </m:t>
              </m:r>
            </m:num>
            <m:den>
              <m:r>
                <w:rPr>
                  <w:rFonts w:ascii="Cambria Math" w:hAnsi="Cambria Math" w:cs="Arial"/>
                  <w:sz w:val="20"/>
                </w:rPr>
                <m:t>AVMT</m:t>
              </m:r>
            </m:den>
          </m:f>
        </m:oMath>
      </m:oMathPara>
    </w:p>
    <w:p w:rsidR="00832153" w:rsidRPr="008720F3" w:rsidRDefault="00832153" w:rsidP="00832153">
      <w:pPr>
        <w:spacing w:line="240" w:lineRule="auto"/>
        <w:rPr>
          <w:rFonts w:cs="Arial"/>
          <w:i/>
          <w:sz w:val="20"/>
        </w:rPr>
      </w:pPr>
      <w:r w:rsidRPr="008720F3">
        <w:rPr>
          <w:rFonts w:cs="Arial"/>
          <w:i/>
          <w:sz w:val="20"/>
        </w:rPr>
        <w:t>Where:</w:t>
      </w:r>
    </w:p>
    <w:p w:rsidR="00832153" w:rsidRPr="008720F3" w:rsidRDefault="00832153" w:rsidP="00832153">
      <w:pPr>
        <w:spacing w:after="0" w:line="240" w:lineRule="auto"/>
        <w:rPr>
          <w:rFonts w:cs="Arial"/>
          <w:sz w:val="20"/>
          <w:szCs w:val="24"/>
        </w:rPr>
      </w:pPr>
      <w:r w:rsidRPr="008720F3">
        <w:rPr>
          <w:rFonts w:cs="Arial"/>
          <w:sz w:val="20"/>
        </w:rPr>
        <w:t>AVMT</w:t>
      </w:r>
      <w:r w:rsidRPr="008720F3">
        <w:rPr>
          <w:rFonts w:cs="Arial"/>
          <w:sz w:val="20"/>
        </w:rPr>
        <w:tab/>
        <w:t xml:space="preserve">= Average </w:t>
      </w:r>
      <w:r w:rsidRPr="008720F3">
        <w:rPr>
          <w:rFonts w:cs="Arial"/>
          <w:sz w:val="20"/>
          <w:szCs w:val="24"/>
        </w:rPr>
        <w:t>vehicle miles traveled</w:t>
      </w:r>
    </w:p>
    <w:p w:rsidR="00832153" w:rsidRPr="008720F3" w:rsidRDefault="00832153" w:rsidP="00832153">
      <w:pPr>
        <w:spacing w:after="0" w:line="240" w:lineRule="auto"/>
        <w:rPr>
          <w:rFonts w:cs="Arial"/>
          <w:sz w:val="20"/>
          <w:szCs w:val="24"/>
        </w:rPr>
      </w:pPr>
      <w:r w:rsidRPr="008720F3">
        <w:rPr>
          <w:rFonts w:cs="Arial"/>
          <w:sz w:val="20"/>
          <w:szCs w:val="24"/>
        </w:rPr>
        <w:t>LDV</w:t>
      </w:r>
      <w:r w:rsidRPr="008720F3">
        <w:rPr>
          <w:rFonts w:cs="Arial"/>
          <w:sz w:val="20"/>
          <w:szCs w:val="24"/>
        </w:rPr>
        <w:tab/>
        <w:t>= Number of light-duty vehicles, including passenger cars and light-duty trucks</w:t>
      </w:r>
    </w:p>
    <w:p w:rsidR="00832153" w:rsidRPr="00832153" w:rsidRDefault="00832153" w:rsidP="00832153">
      <w:pPr>
        <w:spacing w:line="240" w:lineRule="auto"/>
        <w:rPr>
          <w:rFonts w:cs="Arial"/>
          <w:sz w:val="20"/>
          <w:szCs w:val="24"/>
        </w:rPr>
      </w:pPr>
      <w:r w:rsidRPr="008720F3">
        <w:rPr>
          <w:rFonts w:cs="Arial"/>
          <w:sz w:val="20"/>
          <w:szCs w:val="24"/>
        </w:rPr>
        <w:t>MPG/e</w:t>
      </w:r>
      <w:r w:rsidRPr="008720F3">
        <w:rPr>
          <w:rFonts w:cs="Arial"/>
          <w:sz w:val="20"/>
          <w:szCs w:val="24"/>
        </w:rPr>
        <w:tab/>
        <w:t>= Miles per gallon equivalent</w:t>
      </w:r>
    </w:p>
    <w:p w:rsidR="00832153" w:rsidRPr="003A7D62" w:rsidRDefault="00832153" w:rsidP="00832153">
      <w:pPr>
        <w:rPr>
          <w:rFonts w:cs="Arial"/>
          <w:szCs w:val="24"/>
        </w:rPr>
      </w:pPr>
      <w:r>
        <w:rPr>
          <w:rFonts w:cs="Arial"/>
          <w:szCs w:val="24"/>
        </w:rPr>
        <w:t>MPG/e values from Table 1, station capacity assumptions described earlier</w:t>
      </w:r>
      <w:r w:rsidR="00C11B36">
        <w:rPr>
          <w:rFonts w:cs="Arial"/>
          <w:szCs w:val="24"/>
        </w:rPr>
        <w:t xml:space="preserve"> in this section, and an AMVT of 15,000 were used to calculate</w:t>
      </w:r>
      <w:r>
        <w:rPr>
          <w:rFonts w:cs="Arial"/>
          <w:szCs w:val="24"/>
        </w:rPr>
        <w:t xml:space="preserve"> the number of vehicles supported per alt</w:t>
      </w:r>
      <w:r w:rsidR="00C11B36">
        <w:rPr>
          <w:rFonts w:cs="Arial"/>
          <w:szCs w:val="24"/>
        </w:rPr>
        <w:t>ernative fuel station</w:t>
      </w:r>
      <w:r>
        <w:rPr>
          <w:rFonts w:cs="Arial"/>
          <w:szCs w:val="24"/>
        </w:rPr>
        <w:t xml:space="preserve">. </w:t>
      </w:r>
      <w:r w:rsidRPr="003A7D62">
        <w:rPr>
          <w:rFonts w:cs="Arial"/>
          <w:szCs w:val="24"/>
        </w:rPr>
        <w:t xml:space="preserve">The </w:t>
      </w:r>
      <w:r w:rsidRPr="003A7D62">
        <w:rPr>
          <w:rFonts w:cs="Arial"/>
          <w:szCs w:val="24"/>
        </w:rPr>
        <w:lastRenderedPageBreak/>
        <w:t>results from these calculations</w:t>
      </w:r>
      <w:r w:rsidR="00C11B36">
        <w:rPr>
          <w:rFonts w:cs="Arial"/>
          <w:szCs w:val="24"/>
        </w:rPr>
        <w:t xml:space="preserve"> rounded to the nearest ten vehicles</w:t>
      </w:r>
      <w:r w:rsidRPr="003A7D62">
        <w:rPr>
          <w:rFonts w:cs="Arial"/>
          <w:szCs w:val="24"/>
        </w:rPr>
        <w:t xml:space="preserve"> are displayed in Table 3 below. If the number of gasoline vehicles per required station is calculated using the same assumptions, there would be 540 vehicles per station. This compares to the approximately 1,500 vehicles per gasoline station in the United States.</w:t>
      </w:r>
      <w:r w:rsidRPr="003A7D62">
        <w:rPr>
          <w:rStyle w:val="FootnoteReference"/>
          <w:rFonts w:cs="Arial"/>
          <w:szCs w:val="24"/>
        </w:rPr>
        <w:footnoteReference w:id="135"/>
      </w:r>
      <w:r w:rsidR="00C11B36">
        <w:rPr>
          <w:rFonts w:cs="Arial"/>
          <w:szCs w:val="24"/>
        </w:rPr>
        <w:t xml:space="preserve"> If AFVs ever become</w:t>
      </w:r>
      <w:r w:rsidRPr="003A7D62">
        <w:rPr>
          <w:rFonts w:cs="Arial"/>
          <w:szCs w:val="24"/>
        </w:rPr>
        <w:t xml:space="preserve"> a large portion of vehicles on the road, the number of vehicles per station will likely increase (as seen in the difference between the projected and actual values for gasoline), thus reducing the per-vehicle cost of infrastructure. </w:t>
      </w:r>
    </w:p>
    <w:p w:rsidR="00832153" w:rsidRPr="003A7D62" w:rsidRDefault="00832153" w:rsidP="00984B07">
      <w:pPr>
        <w:pStyle w:val="Caption"/>
        <w:keepNext/>
        <w:spacing w:after="60" w:line="276" w:lineRule="auto"/>
        <w:rPr>
          <w:rFonts w:cs="Arial"/>
          <w:color w:val="auto"/>
          <w:sz w:val="20"/>
          <w:szCs w:val="24"/>
        </w:rPr>
      </w:pPr>
      <w:bookmarkStart w:id="48" w:name="_Toc352249443"/>
      <w:r w:rsidRPr="003A7D62">
        <w:rPr>
          <w:rFonts w:cs="Arial"/>
          <w:color w:val="auto"/>
          <w:sz w:val="20"/>
          <w:szCs w:val="24"/>
        </w:rPr>
        <w:t xml:space="preserve">Table </w:t>
      </w:r>
      <w:r w:rsidRPr="003A7D62">
        <w:rPr>
          <w:rFonts w:cs="Arial"/>
          <w:color w:val="auto"/>
          <w:sz w:val="20"/>
          <w:szCs w:val="24"/>
        </w:rPr>
        <w:fldChar w:fldCharType="begin"/>
      </w:r>
      <w:r w:rsidRPr="003A7D62">
        <w:rPr>
          <w:rFonts w:cs="Arial"/>
          <w:color w:val="auto"/>
          <w:sz w:val="20"/>
          <w:szCs w:val="24"/>
        </w:rPr>
        <w:instrText xml:space="preserve"> SEQ Table \* ARABIC </w:instrText>
      </w:r>
      <w:r w:rsidRPr="003A7D62">
        <w:rPr>
          <w:rFonts w:cs="Arial"/>
          <w:color w:val="auto"/>
          <w:sz w:val="20"/>
          <w:szCs w:val="24"/>
        </w:rPr>
        <w:fldChar w:fldCharType="separate"/>
      </w:r>
      <w:r w:rsidR="00E01A3B">
        <w:rPr>
          <w:rFonts w:cs="Arial"/>
          <w:noProof/>
          <w:color w:val="auto"/>
          <w:sz w:val="20"/>
          <w:szCs w:val="24"/>
        </w:rPr>
        <w:t>3</w:t>
      </w:r>
      <w:r w:rsidRPr="003A7D62">
        <w:rPr>
          <w:rFonts w:cs="Arial"/>
          <w:color w:val="auto"/>
          <w:sz w:val="20"/>
          <w:szCs w:val="24"/>
        </w:rPr>
        <w:fldChar w:fldCharType="end"/>
      </w:r>
      <w:r w:rsidRPr="003A7D62">
        <w:rPr>
          <w:rFonts w:cs="Arial"/>
          <w:color w:val="auto"/>
          <w:sz w:val="20"/>
          <w:szCs w:val="24"/>
        </w:rPr>
        <w:t>: Number of Light-Duty Vehicles per Station by Fuel Type</w:t>
      </w:r>
      <w:bookmarkEnd w:id="48"/>
    </w:p>
    <w:tbl>
      <w:tblPr>
        <w:tblW w:w="5140" w:type="dxa"/>
        <w:tblInd w:w="98" w:type="dxa"/>
        <w:tblLook w:val="04A0" w:firstRow="1" w:lastRow="0" w:firstColumn="1" w:lastColumn="0" w:noHBand="0" w:noVBand="1"/>
      </w:tblPr>
      <w:tblGrid>
        <w:gridCol w:w="1180"/>
        <w:gridCol w:w="2340"/>
        <w:gridCol w:w="1620"/>
      </w:tblGrid>
      <w:tr w:rsidR="00832153" w:rsidRPr="003A7D62" w:rsidTr="00832153">
        <w:trPr>
          <w:trHeight w:val="339"/>
        </w:trPr>
        <w:tc>
          <w:tcPr>
            <w:tcW w:w="3520" w:type="dxa"/>
            <w:gridSpan w:val="2"/>
            <w:tcBorders>
              <w:top w:val="single" w:sz="8" w:space="0" w:color="auto"/>
              <w:left w:val="single" w:sz="8" w:space="0" w:color="auto"/>
              <w:bottom w:val="single" w:sz="8" w:space="0" w:color="auto"/>
              <w:right w:val="nil"/>
            </w:tcBorders>
            <w:shd w:val="clear" w:color="auto" w:fill="auto"/>
            <w:noWrap/>
            <w:vAlign w:val="center"/>
            <w:hideMark/>
          </w:tcPr>
          <w:p w:rsidR="00832153" w:rsidRPr="003A7D62" w:rsidRDefault="00832153" w:rsidP="00832153">
            <w:pPr>
              <w:spacing w:after="0" w:line="240" w:lineRule="auto"/>
              <w:rPr>
                <w:rFonts w:eastAsia="Times New Roman" w:cs="Arial"/>
                <w:b/>
                <w:bCs/>
                <w:szCs w:val="24"/>
              </w:rPr>
            </w:pPr>
            <w:r w:rsidRPr="003A7D62">
              <w:rPr>
                <w:rFonts w:eastAsia="Times New Roman" w:cs="Arial"/>
                <w:b/>
                <w:bCs/>
                <w:szCs w:val="24"/>
              </w:rPr>
              <w:t>Fuel Type</w:t>
            </w:r>
          </w:p>
        </w:tc>
        <w:tc>
          <w:tcPr>
            <w:tcW w:w="1620" w:type="dxa"/>
            <w:tcBorders>
              <w:top w:val="single" w:sz="8" w:space="0" w:color="auto"/>
              <w:left w:val="nil"/>
              <w:bottom w:val="single" w:sz="8" w:space="0" w:color="auto"/>
              <w:right w:val="single" w:sz="8" w:space="0" w:color="auto"/>
            </w:tcBorders>
            <w:shd w:val="clear" w:color="auto" w:fill="auto"/>
            <w:noWrap/>
            <w:vAlign w:val="center"/>
            <w:hideMark/>
          </w:tcPr>
          <w:p w:rsidR="00832153" w:rsidRPr="003A7D62" w:rsidRDefault="00832153" w:rsidP="00832153">
            <w:pPr>
              <w:spacing w:after="0" w:line="240" w:lineRule="auto"/>
              <w:jc w:val="center"/>
              <w:rPr>
                <w:rFonts w:eastAsia="Times New Roman" w:cs="Arial"/>
                <w:b/>
                <w:bCs/>
                <w:szCs w:val="24"/>
              </w:rPr>
            </w:pPr>
            <w:r w:rsidRPr="003A7D62">
              <w:rPr>
                <w:rFonts w:eastAsia="Times New Roman" w:cs="Arial"/>
                <w:b/>
                <w:bCs/>
                <w:szCs w:val="24"/>
              </w:rPr>
              <w:t>Vehicles per Station</w:t>
            </w:r>
          </w:p>
        </w:tc>
      </w:tr>
      <w:tr w:rsidR="00832153" w:rsidRPr="003A7D62" w:rsidTr="00832153">
        <w:trPr>
          <w:trHeight w:val="308"/>
        </w:trPr>
        <w:tc>
          <w:tcPr>
            <w:tcW w:w="3520" w:type="dxa"/>
            <w:gridSpan w:val="2"/>
            <w:tcBorders>
              <w:top w:val="single" w:sz="8" w:space="0" w:color="auto"/>
              <w:left w:val="single" w:sz="8" w:space="0" w:color="auto"/>
              <w:bottom w:val="nil"/>
              <w:right w:val="nil"/>
            </w:tcBorders>
            <w:shd w:val="clear" w:color="auto" w:fill="auto"/>
            <w:noWrap/>
            <w:vAlign w:val="center"/>
            <w:hideMark/>
          </w:tcPr>
          <w:p w:rsidR="00832153" w:rsidRPr="003A7D62" w:rsidRDefault="00832153" w:rsidP="00832153">
            <w:pPr>
              <w:spacing w:after="0" w:line="240" w:lineRule="auto"/>
              <w:rPr>
                <w:rFonts w:eastAsia="Times New Roman" w:cs="Arial"/>
                <w:szCs w:val="24"/>
              </w:rPr>
            </w:pPr>
            <w:r w:rsidRPr="003A7D62">
              <w:rPr>
                <w:rFonts w:eastAsia="Times New Roman" w:cs="Arial"/>
                <w:szCs w:val="24"/>
              </w:rPr>
              <w:t>Natural Gas (CNG)</w:t>
            </w:r>
          </w:p>
        </w:tc>
        <w:tc>
          <w:tcPr>
            <w:tcW w:w="1620" w:type="dxa"/>
            <w:tcBorders>
              <w:top w:val="nil"/>
              <w:left w:val="nil"/>
              <w:bottom w:val="nil"/>
              <w:right w:val="single" w:sz="8" w:space="0" w:color="auto"/>
            </w:tcBorders>
            <w:shd w:val="clear" w:color="auto" w:fill="auto"/>
            <w:noWrap/>
            <w:vAlign w:val="center"/>
            <w:hideMark/>
          </w:tcPr>
          <w:p w:rsidR="00832153" w:rsidRPr="003A7D62" w:rsidRDefault="00832153" w:rsidP="00832153">
            <w:pPr>
              <w:spacing w:after="0" w:line="240" w:lineRule="auto"/>
              <w:ind w:right="342"/>
              <w:jc w:val="right"/>
              <w:rPr>
                <w:rFonts w:eastAsia="Times New Roman" w:cs="Arial"/>
                <w:szCs w:val="24"/>
              </w:rPr>
            </w:pPr>
            <w:r w:rsidRPr="003A7D62">
              <w:rPr>
                <w:rFonts w:eastAsia="Times New Roman" w:cs="Arial"/>
                <w:szCs w:val="24"/>
              </w:rPr>
              <w:t>940</w:t>
            </w:r>
          </w:p>
        </w:tc>
      </w:tr>
      <w:tr w:rsidR="00832153" w:rsidRPr="003A7D62" w:rsidTr="00832153">
        <w:trPr>
          <w:trHeight w:val="308"/>
        </w:trPr>
        <w:tc>
          <w:tcPr>
            <w:tcW w:w="3520" w:type="dxa"/>
            <w:gridSpan w:val="2"/>
            <w:tcBorders>
              <w:top w:val="nil"/>
              <w:left w:val="single" w:sz="8" w:space="0" w:color="auto"/>
              <w:bottom w:val="nil"/>
              <w:right w:val="nil"/>
            </w:tcBorders>
            <w:shd w:val="clear" w:color="auto" w:fill="auto"/>
            <w:noWrap/>
            <w:vAlign w:val="center"/>
            <w:hideMark/>
          </w:tcPr>
          <w:p w:rsidR="00832153" w:rsidRPr="003A7D62" w:rsidRDefault="00832153" w:rsidP="00832153">
            <w:pPr>
              <w:spacing w:after="0" w:line="240" w:lineRule="auto"/>
              <w:rPr>
                <w:rFonts w:eastAsia="Times New Roman" w:cs="Arial"/>
                <w:szCs w:val="24"/>
              </w:rPr>
            </w:pPr>
            <w:r w:rsidRPr="003A7D62">
              <w:rPr>
                <w:rFonts w:eastAsia="Times New Roman" w:cs="Arial"/>
                <w:szCs w:val="24"/>
              </w:rPr>
              <w:t>Flex-Fuel (E85)</w:t>
            </w:r>
          </w:p>
        </w:tc>
        <w:tc>
          <w:tcPr>
            <w:tcW w:w="1620" w:type="dxa"/>
            <w:tcBorders>
              <w:top w:val="nil"/>
              <w:left w:val="nil"/>
              <w:bottom w:val="nil"/>
              <w:right w:val="single" w:sz="8" w:space="0" w:color="auto"/>
            </w:tcBorders>
            <w:shd w:val="clear" w:color="auto" w:fill="auto"/>
            <w:noWrap/>
            <w:vAlign w:val="center"/>
            <w:hideMark/>
          </w:tcPr>
          <w:p w:rsidR="00832153" w:rsidRPr="003A7D62" w:rsidRDefault="00832153" w:rsidP="00832153">
            <w:pPr>
              <w:spacing w:after="0" w:line="240" w:lineRule="auto"/>
              <w:ind w:right="342"/>
              <w:jc w:val="right"/>
              <w:rPr>
                <w:rFonts w:eastAsia="Times New Roman" w:cs="Arial"/>
                <w:szCs w:val="24"/>
              </w:rPr>
            </w:pPr>
            <w:r w:rsidRPr="003A7D62">
              <w:rPr>
                <w:rFonts w:eastAsia="Times New Roman" w:cs="Arial"/>
                <w:szCs w:val="24"/>
              </w:rPr>
              <w:t>350</w:t>
            </w:r>
          </w:p>
        </w:tc>
      </w:tr>
      <w:tr w:rsidR="00832153" w:rsidRPr="003A7D62" w:rsidTr="00832153">
        <w:trPr>
          <w:trHeight w:val="308"/>
        </w:trPr>
        <w:tc>
          <w:tcPr>
            <w:tcW w:w="3520" w:type="dxa"/>
            <w:gridSpan w:val="2"/>
            <w:tcBorders>
              <w:top w:val="nil"/>
              <w:left w:val="single" w:sz="8" w:space="0" w:color="auto"/>
              <w:bottom w:val="nil"/>
              <w:right w:val="nil"/>
            </w:tcBorders>
            <w:shd w:val="clear" w:color="auto" w:fill="auto"/>
            <w:noWrap/>
            <w:vAlign w:val="center"/>
            <w:hideMark/>
          </w:tcPr>
          <w:p w:rsidR="00832153" w:rsidRPr="003A7D62" w:rsidRDefault="00832153" w:rsidP="00832153">
            <w:pPr>
              <w:spacing w:after="0" w:line="240" w:lineRule="auto"/>
              <w:rPr>
                <w:rFonts w:eastAsia="Times New Roman" w:cs="Arial"/>
                <w:szCs w:val="24"/>
              </w:rPr>
            </w:pPr>
            <w:r w:rsidRPr="003A7D62">
              <w:rPr>
                <w:rFonts w:eastAsia="Times New Roman" w:cs="Arial"/>
                <w:szCs w:val="24"/>
              </w:rPr>
              <w:t>Plug-in Electric (BEV &amp; PHEV)</w:t>
            </w:r>
          </w:p>
        </w:tc>
        <w:tc>
          <w:tcPr>
            <w:tcW w:w="1620" w:type="dxa"/>
            <w:tcBorders>
              <w:top w:val="nil"/>
              <w:left w:val="nil"/>
              <w:bottom w:val="nil"/>
              <w:right w:val="single" w:sz="8" w:space="0" w:color="auto"/>
            </w:tcBorders>
            <w:shd w:val="clear" w:color="auto" w:fill="auto"/>
            <w:noWrap/>
            <w:vAlign w:val="center"/>
            <w:hideMark/>
          </w:tcPr>
          <w:p w:rsidR="00832153" w:rsidRPr="003A7D62" w:rsidRDefault="00832153" w:rsidP="00832153">
            <w:pPr>
              <w:spacing w:after="0" w:line="240" w:lineRule="auto"/>
              <w:ind w:right="342"/>
              <w:jc w:val="right"/>
              <w:rPr>
                <w:rFonts w:eastAsia="Times New Roman" w:cs="Arial"/>
                <w:szCs w:val="24"/>
              </w:rPr>
            </w:pPr>
            <w:r w:rsidRPr="003A7D62">
              <w:rPr>
                <w:rFonts w:eastAsia="Times New Roman" w:cs="Arial"/>
                <w:szCs w:val="24"/>
              </w:rPr>
              <w:t>1,950</w:t>
            </w:r>
          </w:p>
        </w:tc>
      </w:tr>
      <w:tr w:rsidR="00832153" w:rsidRPr="003A7D62" w:rsidTr="00832153">
        <w:trPr>
          <w:trHeight w:val="323"/>
        </w:trPr>
        <w:tc>
          <w:tcPr>
            <w:tcW w:w="3520" w:type="dxa"/>
            <w:gridSpan w:val="2"/>
            <w:tcBorders>
              <w:top w:val="nil"/>
              <w:left w:val="single" w:sz="8" w:space="0" w:color="auto"/>
              <w:bottom w:val="single" w:sz="8" w:space="0" w:color="auto"/>
              <w:right w:val="nil"/>
            </w:tcBorders>
            <w:shd w:val="clear" w:color="auto" w:fill="auto"/>
            <w:noWrap/>
            <w:vAlign w:val="center"/>
            <w:hideMark/>
          </w:tcPr>
          <w:p w:rsidR="00832153" w:rsidRPr="003A7D62" w:rsidRDefault="00832153" w:rsidP="00832153">
            <w:pPr>
              <w:spacing w:after="0" w:line="240" w:lineRule="auto"/>
              <w:rPr>
                <w:rFonts w:eastAsia="Times New Roman" w:cs="Arial"/>
                <w:szCs w:val="24"/>
              </w:rPr>
            </w:pPr>
            <w:r w:rsidRPr="003A7D62">
              <w:rPr>
                <w:rFonts w:eastAsia="Times New Roman" w:cs="Arial"/>
                <w:szCs w:val="24"/>
              </w:rPr>
              <w:t>Hydrogen (Fuel Cell)</w:t>
            </w:r>
          </w:p>
        </w:tc>
        <w:tc>
          <w:tcPr>
            <w:tcW w:w="1620" w:type="dxa"/>
            <w:tcBorders>
              <w:top w:val="nil"/>
              <w:left w:val="nil"/>
              <w:bottom w:val="single" w:sz="8" w:space="0" w:color="auto"/>
              <w:right w:val="single" w:sz="8" w:space="0" w:color="auto"/>
            </w:tcBorders>
            <w:shd w:val="clear" w:color="auto" w:fill="auto"/>
            <w:noWrap/>
            <w:vAlign w:val="center"/>
            <w:hideMark/>
          </w:tcPr>
          <w:p w:rsidR="00832153" w:rsidRPr="003A7D62" w:rsidRDefault="00832153" w:rsidP="00832153">
            <w:pPr>
              <w:spacing w:after="0" w:line="240" w:lineRule="auto"/>
              <w:ind w:right="342"/>
              <w:jc w:val="right"/>
              <w:rPr>
                <w:rFonts w:eastAsia="Times New Roman" w:cs="Arial"/>
                <w:szCs w:val="24"/>
              </w:rPr>
            </w:pPr>
            <w:r w:rsidRPr="003A7D62">
              <w:rPr>
                <w:rFonts w:eastAsia="Times New Roman" w:cs="Arial"/>
                <w:szCs w:val="24"/>
              </w:rPr>
              <w:t>520</w:t>
            </w:r>
          </w:p>
        </w:tc>
      </w:tr>
      <w:tr w:rsidR="00832153" w:rsidRPr="003A7D62" w:rsidTr="00832153">
        <w:trPr>
          <w:trHeight w:val="317"/>
        </w:trPr>
        <w:tc>
          <w:tcPr>
            <w:tcW w:w="1180" w:type="dxa"/>
            <w:vMerge w:val="restart"/>
            <w:tcBorders>
              <w:top w:val="nil"/>
              <w:left w:val="single" w:sz="8" w:space="0" w:color="auto"/>
              <w:bottom w:val="single" w:sz="8" w:space="0" w:color="000000"/>
              <w:right w:val="nil"/>
            </w:tcBorders>
            <w:shd w:val="clear" w:color="auto" w:fill="auto"/>
            <w:noWrap/>
            <w:vAlign w:val="center"/>
            <w:hideMark/>
          </w:tcPr>
          <w:p w:rsidR="00832153" w:rsidRPr="003A7D62" w:rsidRDefault="00832153" w:rsidP="00832153">
            <w:pPr>
              <w:spacing w:after="0" w:line="240" w:lineRule="auto"/>
              <w:rPr>
                <w:rFonts w:eastAsia="Times New Roman" w:cs="Arial"/>
                <w:szCs w:val="24"/>
              </w:rPr>
            </w:pPr>
            <w:r w:rsidRPr="003A7D62">
              <w:rPr>
                <w:rFonts w:eastAsia="Times New Roman" w:cs="Arial"/>
                <w:szCs w:val="24"/>
              </w:rPr>
              <w:t>Gasoline</w:t>
            </w:r>
          </w:p>
        </w:tc>
        <w:tc>
          <w:tcPr>
            <w:tcW w:w="2340" w:type="dxa"/>
            <w:tcBorders>
              <w:top w:val="nil"/>
              <w:left w:val="nil"/>
              <w:bottom w:val="nil"/>
              <w:right w:val="nil"/>
            </w:tcBorders>
            <w:shd w:val="clear" w:color="auto" w:fill="auto"/>
            <w:noWrap/>
            <w:vAlign w:val="center"/>
            <w:hideMark/>
          </w:tcPr>
          <w:p w:rsidR="00832153" w:rsidRPr="003A7D62" w:rsidRDefault="00832153" w:rsidP="00832153">
            <w:pPr>
              <w:spacing w:after="0" w:line="240" w:lineRule="auto"/>
              <w:rPr>
                <w:rFonts w:eastAsia="Times New Roman" w:cs="Arial"/>
                <w:szCs w:val="24"/>
              </w:rPr>
            </w:pPr>
            <w:r w:rsidRPr="003A7D62">
              <w:rPr>
                <w:rFonts w:eastAsia="Times New Roman" w:cs="Arial"/>
                <w:szCs w:val="24"/>
              </w:rPr>
              <w:t>Projection</w:t>
            </w:r>
          </w:p>
        </w:tc>
        <w:tc>
          <w:tcPr>
            <w:tcW w:w="1620" w:type="dxa"/>
            <w:tcBorders>
              <w:top w:val="nil"/>
              <w:left w:val="nil"/>
              <w:bottom w:val="nil"/>
              <w:right w:val="single" w:sz="8" w:space="0" w:color="auto"/>
            </w:tcBorders>
            <w:shd w:val="clear" w:color="auto" w:fill="auto"/>
            <w:noWrap/>
            <w:vAlign w:val="center"/>
            <w:hideMark/>
          </w:tcPr>
          <w:p w:rsidR="00832153" w:rsidRPr="003A7D62" w:rsidRDefault="00832153" w:rsidP="00832153">
            <w:pPr>
              <w:spacing w:after="0" w:line="240" w:lineRule="auto"/>
              <w:ind w:right="342"/>
              <w:jc w:val="right"/>
              <w:rPr>
                <w:rFonts w:eastAsia="Times New Roman" w:cs="Arial"/>
                <w:szCs w:val="24"/>
              </w:rPr>
            </w:pPr>
            <w:r w:rsidRPr="003A7D62">
              <w:rPr>
                <w:rFonts w:eastAsia="Times New Roman" w:cs="Arial"/>
                <w:szCs w:val="24"/>
              </w:rPr>
              <w:t xml:space="preserve"> 540 </w:t>
            </w:r>
          </w:p>
        </w:tc>
      </w:tr>
      <w:tr w:rsidR="00832153" w:rsidRPr="003A7D62" w:rsidTr="00832153">
        <w:trPr>
          <w:trHeight w:val="317"/>
        </w:trPr>
        <w:tc>
          <w:tcPr>
            <w:tcW w:w="1180" w:type="dxa"/>
            <w:vMerge/>
            <w:tcBorders>
              <w:top w:val="nil"/>
              <w:left w:val="single" w:sz="8" w:space="0" w:color="auto"/>
              <w:bottom w:val="single" w:sz="8" w:space="0" w:color="000000"/>
              <w:right w:val="nil"/>
            </w:tcBorders>
            <w:vAlign w:val="center"/>
            <w:hideMark/>
          </w:tcPr>
          <w:p w:rsidR="00832153" w:rsidRPr="003A7D62" w:rsidRDefault="00832153" w:rsidP="00832153">
            <w:pPr>
              <w:spacing w:after="0" w:line="240" w:lineRule="auto"/>
              <w:rPr>
                <w:rFonts w:eastAsia="Times New Roman" w:cs="Arial"/>
                <w:szCs w:val="24"/>
              </w:rPr>
            </w:pPr>
          </w:p>
        </w:tc>
        <w:tc>
          <w:tcPr>
            <w:tcW w:w="2340" w:type="dxa"/>
            <w:tcBorders>
              <w:top w:val="nil"/>
              <w:left w:val="nil"/>
              <w:bottom w:val="single" w:sz="8" w:space="0" w:color="auto"/>
              <w:right w:val="nil"/>
            </w:tcBorders>
            <w:shd w:val="clear" w:color="auto" w:fill="auto"/>
            <w:noWrap/>
            <w:vAlign w:val="bottom"/>
            <w:hideMark/>
          </w:tcPr>
          <w:p w:rsidR="00832153" w:rsidRPr="003A7D62" w:rsidRDefault="00832153" w:rsidP="00832153">
            <w:pPr>
              <w:spacing w:after="0" w:line="240" w:lineRule="auto"/>
              <w:rPr>
                <w:rFonts w:eastAsia="Times New Roman" w:cs="Arial"/>
                <w:szCs w:val="24"/>
              </w:rPr>
            </w:pPr>
            <w:r w:rsidRPr="003A7D62">
              <w:rPr>
                <w:rFonts w:eastAsia="Times New Roman" w:cs="Arial"/>
                <w:szCs w:val="24"/>
              </w:rPr>
              <w:t>Actual (U.S.)</w:t>
            </w:r>
          </w:p>
        </w:tc>
        <w:tc>
          <w:tcPr>
            <w:tcW w:w="1620" w:type="dxa"/>
            <w:tcBorders>
              <w:top w:val="nil"/>
              <w:left w:val="nil"/>
              <w:bottom w:val="single" w:sz="8" w:space="0" w:color="auto"/>
              <w:right w:val="single" w:sz="8" w:space="0" w:color="auto"/>
            </w:tcBorders>
            <w:shd w:val="clear" w:color="auto" w:fill="auto"/>
            <w:noWrap/>
            <w:vAlign w:val="center"/>
            <w:hideMark/>
          </w:tcPr>
          <w:p w:rsidR="00832153" w:rsidRPr="003A7D62" w:rsidRDefault="00832153" w:rsidP="00832153">
            <w:pPr>
              <w:spacing w:after="0" w:line="240" w:lineRule="auto"/>
              <w:ind w:right="342"/>
              <w:jc w:val="right"/>
              <w:rPr>
                <w:rFonts w:eastAsia="Times New Roman" w:cs="Arial"/>
                <w:szCs w:val="24"/>
              </w:rPr>
            </w:pPr>
            <w:r w:rsidRPr="003A7D62">
              <w:rPr>
                <w:rFonts w:eastAsia="Times New Roman" w:cs="Arial"/>
                <w:szCs w:val="24"/>
              </w:rPr>
              <w:t xml:space="preserve"> 1,500 </w:t>
            </w:r>
          </w:p>
        </w:tc>
      </w:tr>
    </w:tbl>
    <w:p w:rsidR="00832153" w:rsidRPr="001F4DED" w:rsidRDefault="00832153" w:rsidP="00832153">
      <w:pPr>
        <w:spacing w:after="0"/>
        <w:rPr>
          <w:rFonts w:cs="Arial"/>
          <w:sz w:val="18"/>
          <w:szCs w:val="24"/>
        </w:rPr>
      </w:pPr>
      <w:r w:rsidRPr="001F4DED">
        <w:rPr>
          <w:rFonts w:cs="Arial"/>
          <w:sz w:val="18"/>
          <w:szCs w:val="24"/>
        </w:rPr>
        <w:t>Note: Calculations based off of CFOR assumptions as well as assumptions outlined in Table 1</w:t>
      </w:r>
    </w:p>
    <w:p w:rsidR="00832153" w:rsidRPr="003A7D62" w:rsidRDefault="00832153" w:rsidP="00832153">
      <w:pPr>
        <w:rPr>
          <w:rFonts w:cs="Arial"/>
          <w:i/>
          <w:sz w:val="20"/>
          <w:szCs w:val="24"/>
        </w:rPr>
      </w:pPr>
      <w:r w:rsidRPr="003A7D62">
        <w:rPr>
          <w:rFonts w:cs="Arial"/>
          <w:i/>
          <w:sz w:val="20"/>
          <w:szCs w:val="24"/>
        </w:rPr>
        <w:t>Sources: NPC 2012</w:t>
      </w:r>
    </w:p>
    <w:p w:rsidR="00D44EFA" w:rsidRPr="003A7D62" w:rsidRDefault="00D44EFA" w:rsidP="00D44EFA">
      <w:pPr>
        <w:rPr>
          <w:rFonts w:cs="Arial"/>
          <w:szCs w:val="24"/>
        </w:rPr>
      </w:pPr>
      <w:r w:rsidRPr="003A7D62">
        <w:rPr>
          <w:rFonts w:cs="Arial"/>
          <w:szCs w:val="24"/>
        </w:rPr>
        <w:t>The number of vehicles per station was used to calculate the infrastructure cost per vehicle. In order to do this, an estimate of the infrastructure cost of equipping stations to provide a new type of fuel was divided by the number of vehicles per station. In addition, infrastructure costs for individual vehicles, such as the purchase and installation of home chargers for PEVs or home refueling stations for CNG vehicles</w:t>
      </w:r>
      <w:r w:rsidR="008827F1" w:rsidRPr="003A7D62">
        <w:rPr>
          <w:rFonts w:cs="Arial"/>
          <w:szCs w:val="24"/>
        </w:rPr>
        <w:t>,</w:t>
      </w:r>
      <w:r w:rsidRPr="003A7D62">
        <w:rPr>
          <w:rFonts w:cs="Arial"/>
          <w:szCs w:val="24"/>
        </w:rPr>
        <w:t xml:space="preserve"> were included. The infrastructure cost per vehicle can be found for each fuel in Table </w:t>
      </w:r>
      <w:r w:rsidR="00E87435" w:rsidRPr="003A7D62">
        <w:rPr>
          <w:rFonts w:cs="Arial"/>
          <w:szCs w:val="24"/>
        </w:rPr>
        <w:t>4</w:t>
      </w:r>
      <w:r w:rsidRPr="003A7D62">
        <w:rPr>
          <w:rFonts w:cs="Arial"/>
          <w:szCs w:val="24"/>
        </w:rPr>
        <w:t>.</w:t>
      </w:r>
    </w:p>
    <w:p w:rsidR="008A2503" w:rsidRDefault="00D44EFA" w:rsidP="008A2503">
      <w:pPr>
        <w:ind w:right="-180"/>
        <w:rPr>
          <w:rFonts w:cs="Arial"/>
          <w:szCs w:val="24"/>
        </w:rPr>
      </w:pPr>
      <w:r w:rsidRPr="003A7D62">
        <w:rPr>
          <w:rFonts w:cs="Arial"/>
          <w:szCs w:val="24"/>
        </w:rPr>
        <w:t>The cost estimates assumed that the cost of upgrading a station would be $1,000,000 for CNG,</w:t>
      </w:r>
      <w:r w:rsidRPr="003A7D62">
        <w:rPr>
          <w:rStyle w:val="FootnoteReference"/>
          <w:rFonts w:cs="Arial"/>
          <w:szCs w:val="24"/>
        </w:rPr>
        <w:footnoteReference w:id="136"/>
      </w:r>
      <w:r w:rsidRPr="003A7D62">
        <w:rPr>
          <w:rFonts w:cs="Arial"/>
          <w:szCs w:val="24"/>
        </w:rPr>
        <w:t xml:space="preserve"> $84,000 for E85,</w:t>
      </w:r>
      <w:r w:rsidRPr="003A7D62">
        <w:rPr>
          <w:rStyle w:val="FootnoteReference"/>
          <w:rFonts w:cs="Arial"/>
          <w:szCs w:val="24"/>
        </w:rPr>
        <w:footnoteReference w:id="137"/>
      </w:r>
      <w:r w:rsidRPr="003A7D62">
        <w:rPr>
          <w:rFonts w:cs="Arial"/>
          <w:szCs w:val="24"/>
        </w:rPr>
        <w:t xml:space="preserve"> $300,000 for electricity (</w:t>
      </w:r>
      <w:r w:rsidR="008827F1" w:rsidRPr="003A7D62">
        <w:rPr>
          <w:rFonts w:cs="Arial"/>
          <w:szCs w:val="24"/>
        </w:rPr>
        <w:t>assuming</w:t>
      </w:r>
      <w:r w:rsidR="003B64BF">
        <w:rPr>
          <w:rFonts w:cs="Arial"/>
          <w:szCs w:val="24"/>
        </w:rPr>
        <w:t xml:space="preserve"> three Level 2 DC</w:t>
      </w:r>
      <w:r w:rsidRPr="003A7D62">
        <w:rPr>
          <w:rFonts w:cs="Arial"/>
          <w:szCs w:val="24"/>
        </w:rPr>
        <w:t xml:space="preserve"> chargers with two plugs each),</w:t>
      </w:r>
      <w:r w:rsidRPr="003A7D62">
        <w:rPr>
          <w:rStyle w:val="FootnoteReference"/>
          <w:rFonts w:cs="Arial"/>
          <w:szCs w:val="24"/>
        </w:rPr>
        <w:footnoteReference w:id="138"/>
      </w:r>
      <w:r w:rsidRPr="003A7D62">
        <w:rPr>
          <w:rFonts w:cs="Arial"/>
          <w:szCs w:val="24"/>
        </w:rPr>
        <w:t xml:space="preserve"> and $2,500,000 for hydrogen.</w:t>
      </w:r>
      <w:r w:rsidRPr="003A7D62">
        <w:rPr>
          <w:rStyle w:val="FootnoteReference"/>
          <w:rFonts w:cs="Arial"/>
          <w:szCs w:val="24"/>
        </w:rPr>
        <w:footnoteReference w:id="139"/>
      </w:r>
      <w:r w:rsidRPr="003A7D62">
        <w:rPr>
          <w:rFonts w:cs="Arial"/>
          <w:szCs w:val="24"/>
        </w:rPr>
        <w:t xml:space="preserve"> In addition to station costs, the cost of home systems was assumed to</w:t>
      </w:r>
      <w:r w:rsidR="008A2503">
        <w:rPr>
          <w:rFonts w:cs="Arial"/>
          <w:szCs w:val="24"/>
        </w:rPr>
        <w:t xml:space="preserve"> </w:t>
      </w:r>
      <w:r w:rsidRPr="003A7D62">
        <w:rPr>
          <w:rFonts w:cs="Arial"/>
          <w:szCs w:val="24"/>
        </w:rPr>
        <w:t>be $500 for CNG</w:t>
      </w:r>
      <w:r w:rsidR="00A4637A" w:rsidRPr="003A7D62">
        <w:rPr>
          <w:rStyle w:val="FootnoteReference"/>
          <w:rFonts w:cs="Arial"/>
          <w:szCs w:val="24"/>
        </w:rPr>
        <w:footnoteReference w:id="140"/>
      </w:r>
      <w:r w:rsidRPr="003A7D62">
        <w:rPr>
          <w:rFonts w:cs="Arial"/>
          <w:szCs w:val="24"/>
        </w:rPr>
        <w:t xml:space="preserve"> and $2,000 for electricity (Level 2 charger and installation of</w:t>
      </w:r>
      <w:r w:rsidR="008827F1" w:rsidRPr="003A7D62">
        <w:rPr>
          <w:rFonts w:cs="Arial"/>
          <w:szCs w:val="24"/>
        </w:rPr>
        <w:t xml:space="preserve"> a</w:t>
      </w:r>
      <w:r w:rsidRPr="003A7D62">
        <w:rPr>
          <w:rFonts w:cs="Arial"/>
          <w:szCs w:val="24"/>
        </w:rPr>
        <w:t xml:space="preserve"> 240</w:t>
      </w:r>
      <w:r w:rsidR="008827F1" w:rsidRPr="003A7D62">
        <w:rPr>
          <w:rFonts w:cs="Arial"/>
          <w:szCs w:val="24"/>
        </w:rPr>
        <w:t>-</w:t>
      </w:r>
      <w:r w:rsidRPr="003A7D62">
        <w:rPr>
          <w:rFonts w:cs="Arial"/>
          <w:szCs w:val="24"/>
        </w:rPr>
        <w:t xml:space="preserve">volt outlet in </w:t>
      </w:r>
      <w:r w:rsidR="008827F1" w:rsidRPr="003A7D62">
        <w:rPr>
          <w:rFonts w:cs="Arial"/>
          <w:szCs w:val="24"/>
        </w:rPr>
        <w:t xml:space="preserve">the </w:t>
      </w:r>
      <w:r w:rsidRPr="003A7D62">
        <w:rPr>
          <w:rFonts w:cs="Arial"/>
          <w:szCs w:val="24"/>
        </w:rPr>
        <w:t>garage).</w:t>
      </w:r>
      <w:r w:rsidR="008E6A4D" w:rsidRPr="003A7D62">
        <w:rPr>
          <w:rStyle w:val="FootnoteReference"/>
          <w:rFonts w:cs="Arial"/>
          <w:szCs w:val="24"/>
        </w:rPr>
        <w:footnoteReference w:id="141"/>
      </w:r>
      <w:r w:rsidRPr="003A7D62">
        <w:rPr>
          <w:rFonts w:cs="Arial"/>
          <w:szCs w:val="24"/>
        </w:rPr>
        <w:t xml:space="preserve"> </w:t>
      </w:r>
    </w:p>
    <w:p w:rsidR="00D44EFA" w:rsidRPr="003A7D62" w:rsidRDefault="00D44EFA" w:rsidP="00D44EFA">
      <w:pPr>
        <w:rPr>
          <w:rFonts w:cs="Arial"/>
          <w:szCs w:val="24"/>
        </w:rPr>
      </w:pPr>
      <w:r w:rsidRPr="003A7D62">
        <w:rPr>
          <w:rFonts w:cs="Arial"/>
          <w:szCs w:val="24"/>
        </w:rPr>
        <w:lastRenderedPageBreak/>
        <w:t xml:space="preserve">The home refueling system is a significant cost for CNG infrastructure (32 percent of infrastructure cost), and the home charger </w:t>
      </w:r>
      <w:r w:rsidR="008827F1" w:rsidRPr="003A7D62">
        <w:rPr>
          <w:rFonts w:cs="Arial"/>
          <w:szCs w:val="24"/>
        </w:rPr>
        <w:t>represents</w:t>
      </w:r>
      <w:r w:rsidRPr="003A7D62">
        <w:rPr>
          <w:rFonts w:cs="Arial"/>
          <w:szCs w:val="24"/>
        </w:rPr>
        <w:t xml:space="preserve"> the vast majority of the cost of electric vehicle infrastructure (93 percent of infrastructure cost). Owners of CNG vehicles could potentially forego the installation of a home refueling system</w:t>
      </w:r>
      <w:r w:rsidR="008827F1" w:rsidRPr="003A7D62">
        <w:rPr>
          <w:rFonts w:cs="Arial"/>
          <w:szCs w:val="24"/>
        </w:rPr>
        <w:t>;</w:t>
      </w:r>
      <w:r w:rsidRPr="003A7D62">
        <w:rPr>
          <w:rFonts w:cs="Arial"/>
          <w:szCs w:val="24"/>
        </w:rPr>
        <w:t xml:space="preserve"> owners of plug-in vehicles will likely require charging infrastructure at home, as long charging times make reliance on public charging infrastructure challenging. As public natural gas infrastructure becomes more available, it is less likely that CNG vehicle owners will find it necessary to install home refueling stations, reducing the infrastructure cost per vehicle. </w:t>
      </w:r>
    </w:p>
    <w:p w:rsidR="00D44EFA" w:rsidRPr="003A7D62" w:rsidRDefault="00D44EFA" w:rsidP="00D44EFA">
      <w:pPr>
        <w:rPr>
          <w:rFonts w:cs="Arial"/>
          <w:szCs w:val="24"/>
        </w:rPr>
      </w:pPr>
      <w:r w:rsidRPr="003A7D62">
        <w:rPr>
          <w:rFonts w:cs="Arial"/>
          <w:szCs w:val="24"/>
        </w:rPr>
        <w:t xml:space="preserve">While plug-in vehicles will likely require home charging infrastructure for quite some time, costs of home charging infrastructure could come down over </w:t>
      </w:r>
      <w:r w:rsidR="00E9237B" w:rsidRPr="003A7D62">
        <w:rPr>
          <w:rFonts w:cs="Arial"/>
          <w:szCs w:val="24"/>
        </w:rPr>
        <w:t>the years</w:t>
      </w:r>
      <w:r w:rsidRPr="003A7D62">
        <w:rPr>
          <w:rFonts w:cs="Arial"/>
          <w:szCs w:val="24"/>
        </w:rPr>
        <w:t>. For instance, Level 2 charging devices were assumed to cost $700</w:t>
      </w:r>
      <w:r w:rsidR="00E42F65" w:rsidRPr="003A7D62">
        <w:rPr>
          <w:rFonts w:cs="Arial"/>
          <w:szCs w:val="24"/>
        </w:rPr>
        <w:t xml:space="preserve"> </w:t>
      </w:r>
      <w:r w:rsidRPr="003A7D62">
        <w:rPr>
          <w:rFonts w:cs="Arial"/>
          <w:szCs w:val="24"/>
        </w:rPr>
        <w:t>-</w:t>
      </w:r>
      <w:r w:rsidR="00E42F65" w:rsidRPr="003A7D62">
        <w:rPr>
          <w:rFonts w:cs="Arial"/>
          <w:szCs w:val="24"/>
        </w:rPr>
        <w:t xml:space="preserve"> </w:t>
      </w:r>
      <w:r w:rsidR="00E9237B" w:rsidRPr="003A7D62">
        <w:rPr>
          <w:rFonts w:cs="Arial"/>
          <w:szCs w:val="24"/>
        </w:rPr>
        <w:t>$</w:t>
      </w:r>
      <w:r w:rsidRPr="003A7D62">
        <w:rPr>
          <w:rFonts w:cs="Arial"/>
          <w:szCs w:val="24"/>
        </w:rPr>
        <w:t>1,000 for the device and $1,000 installation of a 240</w:t>
      </w:r>
      <w:r w:rsidR="00E9237B" w:rsidRPr="003A7D62">
        <w:rPr>
          <w:rFonts w:cs="Arial"/>
          <w:szCs w:val="24"/>
        </w:rPr>
        <w:t>-</w:t>
      </w:r>
      <w:r w:rsidRPr="003A7D62">
        <w:rPr>
          <w:rFonts w:cs="Arial"/>
          <w:szCs w:val="24"/>
        </w:rPr>
        <w:t>volt outlet in a garage</w:t>
      </w:r>
      <w:r w:rsidR="00E9237B" w:rsidRPr="003A7D62">
        <w:rPr>
          <w:rFonts w:cs="Arial"/>
          <w:szCs w:val="24"/>
        </w:rPr>
        <w:t>;</w:t>
      </w:r>
      <w:r w:rsidRPr="003A7D62">
        <w:rPr>
          <w:rFonts w:cs="Arial"/>
          <w:szCs w:val="24"/>
        </w:rPr>
        <w:t xml:space="preserve"> these costs could come down over time, as production and competition scale up. Installation costs could decline further if houses are designed with 240</w:t>
      </w:r>
      <w:r w:rsidR="00E9237B" w:rsidRPr="003A7D62">
        <w:rPr>
          <w:rFonts w:cs="Arial"/>
          <w:szCs w:val="24"/>
        </w:rPr>
        <w:t>-</w:t>
      </w:r>
      <w:r w:rsidRPr="003A7D62">
        <w:rPr>
          <w:rFonts w:cs="Arial"/>
          <w:szCs w:val="24"/>
        </w:rPr>
        <w:t xml:space="preserve">volt outlets in the garage. </w:t>
      </w:r>
      <w:r w:rsidR="00E9237B" w:rsidRPr="003A7D62">
        <w:rPr>
          <w:rFonts w:cs="Arial"/>
          <w:szCs w:val="24"/>
        </w:rPr>
        <w:t>In addition</w:t>
      </w:r>
      <w:r w:rsidRPr="003A7D62">
        <w:rPr>
          <w:rFonts w:cs="Arial"/>
          <w:szCs w:val="24"/>
        </w:rPr>
        <w:t>, by using Level 1 chargers, which can plug directly into the 120</w:t>
      </w:r>
      <w:r w:rsidR="00E9237B" w:rsidRPr="003A7D62">
        <w:rPr>
          <w:rFonts w:cs="Arial"/>
          <w:szCs w:val="24"/>
        </w:rPr>
        <w:t>-</w:t>
      </w:r>
      <w:r w:rsidRPr="003A7D62">
        <w:rPr>
          <w:rFonts w:cs="Arial"/>
          <w:szCs w:val="24"/>
        </w:rPr>
        <w:t xml:space="preserve">volt outlets that already exist in </w:t>
      </w:r>
      <w:r w:rsidR="00E42F65" w:rsidRPr="003A7D62">
        <w:rPr>
          <w:rFonts w:cs="Arial"/>
          <w:szCs w:val="24"/>
        </w:rPr>
        <w:t xml:space="preserve">most </w:t>
      </w:r>
      <w:r w:rsidRPr="003A7D62">
        <w:rPr>
          <w:rFonts w:cs="Arial"/>
          <w:szCs w:val="24"/>
        </w:rPr>
        <w:t xml:space="preserve">garages, the infrastructure cost per vehicle could be more than halved. </w:t>
      </w:r>
    </w:p>
    <w:p w:rsidR="00D44EFA" w:rsidRPr="003A7D62" w:rsidRDefault="00D44EFA" w:rsidP="00D44EFA">
      <w:pPr>
        <w:rPr>
          <w:rFonts w:cs="Arial"/>
          <w:szCs w:val="24"/>
        </w:rPr>
      </w:pPr>
      <w:r w:rsidRPr="003A7D62">
        <w:rPr>
          <w:rFonts w:cs="Arial"/>
          <w:szCs w:val="24"/>
        </w:rPr>
        <w:t>The use of Level 1 chargers is more practical if there are more publicly available 120</w:t>
      </w:r>
      <w:r w:rsidR="00E9237B" w:rsidRPr="003A7D62">
        <w:rPr>
          <w:rFonts w:cs="Arial"/>
          <w:szCs w:val="24"/>
        </w:rPr>
        <w:t>-</w:t>
      </w:r>
      <w:r w:rsidRPr="003A7D62">
        <w:rPr>
          <w:rFonts w:cs="Arial"/>
          <w:szCs w:val="24"/>
        </w:rPr>
        <w:t>volt outlets for vehicles. One way to achieve such public infrastructure is to change building codes to require more external outlets or the creation of a</w:t>
      </w:r>
      <w:r w:rsidR="00596B19" w:rsidRPr="003A7D62">
        <w:rPr>
          <w:rFonts w:cs="Arial"/>
          <w:szCs w:val="24"/>
        </w:rPr>
        <w:t>n</w:t>
      </w:r>
      <w:r w:rsidRPr="003A7D62">
        <w:rPr>
          <w:rFonts w:cs="Arial"/>
          <w:szCs w:val="24"/>
        </w:rPr>
        <w:t xml:space="preserve"> “EV Friendly Building” certification which could be used by contractors, landlords, and businesses for marketing purposes and integrated into sustainability initiatives. A secondary electricity market is not currently legal in the United States</w:t>
      </w:r>
      <w:r w:rsidR="00E9237B" w:rsidRPr="003A7D62">
        <w:rPr>
          <w:rFonts w:cs="Arial"/>
          <w:szCs w:val="24"/>
        </w:rPr>
        <w:t>. D</w:t>
      </w:r>
      <w:r w:rsidRPr="003A7D62">
        <w:rPr>
          <w:rFonts w:cs="Arial"/>
          <w:szCs w:val="24"/>
        </w:rPr>
        <w:t>rivers using these public outlets could not be charged for their use</w:t>
      </w:r>
      <w:r w:rsidR="00E9237B" w:rsidRPr="003A7D62">
        <w:rPr>
          <w:rFonts w:cs="Arial"/>
          <w:szCs w:val="24"/>
        </w:rPr>
        <w:t>;</w:t>
      </w:r>
      <w:r w:rsidRPr="003A7D62">
        <w:rPr>
          <w:rFonts w:cs="Arial"/>
          <w:szCs w:val="24"/>
        </w:rPr>
        <w:t xml:space="preserve"> </w:t>
      </w:r>
      <w:r w:rsidR="00E9237B" w:rsidRPr="003A7D62">
        <w:rPr>
          <w:rFonts w:cs="Arial"/>
          <w:szCs w:val="24"/>
        </w:rPr>
        <w:t>this</w:t>
      </w:r>
      <w:r w:rsidRPr="003A7D62">
        <w:rPr>
          <w:rFonts w:cs="Arial"/>
          <w:szCs w:val="24"/>
        </w:rPr>
        <w:t xml:space="preserve"> could become an issue for businesses in the longer-term</w:t>
      </w:r>
      <w:r w:rsidR="00E42F65" w:rsidRPr="003A7D62">
        <w:rPr>
          <w:rFonts w:cs="Arial"/>
          <w:szCs w:val="24"/>
        </w:rPr>
        <w:t xml:space="preserve"> if adoption of electric vehicles becomes widespread</w:t>
      </w:r>
      <w:r w:rsidRPr="003A7D62">
        <w:rPr>
          <w:rFonts w:cs="Arial"/>
          <w:szCs w:val="24"/>
        </w:rPr>
        <w:t>.</w:t>
      </w:r>
    </w:p>
    <w:p w:rsidR="00D44EFA" w:rsidRPr="003A7D62" w:rsidRDefault="00D44EFA" w:rsidP="00D44EFA">
      <w:pPr>
        <w:rPr>
          <w:rFonts w:cs="Arial"/>
          <w:szCs w:val="24"/>
        </w:rPr>
      </w:pPr>
      <w:r w:rsidRPr="003A7D62">
        <w:rPr>
          <w:rFonts w:cs="Arial"/>
          <w:szCs w:val="24"/>
        </w:rPr>
        <w:t xml:space="preserve">Another infrastructure issue related to the proliferation of electric vehicles is that if the charging locations for these vehicles are located near each other, they could potentially require upgrades to </w:t>
      </w:r>
      <w:r w:rsidR="00E9237B" w:rsidRPr="003A7D62">
        <w:rPr>
          <w:rFonts w:cs="Arial"/>
          <w:szCs w:val="24"/>
        </w:rPr>
        <w:t xml:space="preserve">the </w:t>
      </w:r>
      <w:r w:rsidRPr="003A7D62">
        <w:rPr>
          <w:rFonts w:cs="Arial"/>
          <w:szCs w:val="24"/>
        </w:rPr>
        <w:t>electric distribution infrastructure</w:t>
      </w:r>
      <w:r w:rsidR="00E9237B" w:rsidRPr="003A7D62">
        <w:rPr>
          <w:rFonts w:cs="Arial"/>
          <w:szCs w:val="24"/>
        </w:rPr>
        <w:t>,</w:t>
      </w:r>
      <w:r w:rsidR="00E42F65" w:rsidRPr="003A7D62">
        <w:rPr>
          <w:rFonts w:cs="Arial"/>
          <w:szCs w:val="24"/>
        </w:rPr>
        <w:t xml:space="preserve"> such as the installation of </w:t>
      </w:r>
      <w:r w:rsidRPr="003A7D62">
        <w:rPr>
          <w:rFonts w:cs="Arial"/>
          <w:szCs w:val="24"/>
        </w:rPr>
        <w:t>larger transformers. Utilities have researched this issue, and have structured their own infrastructure plans to take into account the adoption of electric vehicles.</w:t>
      </w:r>
      <w:r w:rsidR="00596B19" w:rsidRPr="003A7D62">
        <w:rPr>
          <w:rStyle w:val="FootnoteReference"/>
          <w:rFonts w:cs="Arial"/>
          <w:szCs w:val="24"/>
        </w:rPr>
        <w:footnoteReference w:id="142"/>
      </w:r>
      <w:r w:rsidRPr="003A7D62">
        <w:rPr>
          <w:rFonts w:cs="Arial"/>
          <w:szCs w:val="24"/>
        </w:rPr>
        <w:t xml:space="preserve"> In addition, utilities have identified strategies, such as lower pricing for off-peak vehicle charging, to reduce local electric loads and limit investment. While successful adoption of electric vehicles will undoubtedly require a significant amount of upstream investment in the grid, the investment will vary widely based on where vehicles charge</w:t>
      </w:r>
      <w:r w:rsidR="00E9237B" w:rsidRPr="003A7D62">
        <w:rPr>
          <w:rFonts w:cs="Arial"/>
          <w:szCs w:val="24"/>
        </w:rPr>
        <w:t>.</w:t>
      </w:r>
      <w:r w:rsidRPr="003A7D62">
        <w:rPr>
          <w:rFonts w:cs="Arial"/>
          <w:szCs w:val="24"/>
        </w:rPr>
        <w:t xml:space="preserve"> </w:t>
      </w:r>
      <w:r w:rsidR="00E9237B" w:rsidRPr="003A7D62">
        <w:rPr>
          <w:rFonts w:cs="Arial"/>
          <w:szCs w:val="24"/>
        </w:rPr>
        <w:t>This consideration</w:t>
      </w:r>
      <w:r w:rsidR="0041262E" w:rsidRPr="003A7D62">
        <w:rPr>
          <w:rFonts w:cs="Arial"/>
          <w:szCs w:val="24"/>
        </w:rPr>
        <w:t xml:space="preserve"> is not included in </w:t>
      </w:r>
      <w:r w:rsidRPr="003A7D62">
        <w:rPr>
          <w:rFonts w:cs="Arial"/>
          <w:szCs w:val="24"/>
        </w:rPr>
        <w:t>the analysis in this paper.</w:t>
      </w:r>
      <w:r w:rsidR="00161AEF">
        <w:rPr>
          <w:rFonts w:cs="Arial"/>
          <w:szCs w:val="24"/>
        </w:rPr>
        <w:t xml:space="preserve"> As stated, for electric vehicles, public stations are considered a secondary source of energy; it has been assumed that recharging will primarily be done at home. Home charging infrastructure is considered part of consumer expenditures, but is included in the calculation of infrastructure cost per vehicle.</w:t>
      </w:r>
    </w:p>
    <w:p w:rsidR="00D44EFA" w:rsidRPr="003A7D62" w:rsidRDefault="005F35F9" w:rsidP="00984B07">
      <w:pPr>
        <w:pStyle w:val="Caption"/>
        <w:keepNext/>
        <w:spacing w:after="60" w:line="276" w:lineRule="auto"/>
        <w:rPr>
          <w:rFonts w:cs="Arial"/>
          <w:color w:val="auto"/>
          <w:sz w:val="20"/>
          <w:szCs w:val="24"/>
        </w:rPr>
      </w:pPr>
      <w:bookmarkStart w:id="49" w:name="_Toc352249444"/>
      <w:r w:rsidRPr="003A7D62">
        <w:rPr>
          <w:rFonts w:cs="Arial"/>
          <w:color w:val="auto"/>
          <w:sz w:val="20"/>
          <w:szCs w:val="24"/>
        </w:rPr>
        <w:lastRenderedPageBreak/>
        <w:t xml:space="preserve">Table </w:t>
      </w:r>
      <w:r w:rsidRPr="003A7D62">
        <w:rPr>
          <w:rFonts w:cs="Arial"/>
          <w:color w:val="auto"/>
          <w:sz w:val="20"/>
          <w:szCs w:val="24"/>
        </w:rPr>
        <w:fldChar w:fldCharType="begin"/>
      </w:r>
      <w:r w:rsidRPr="003A7D62">
        <w:rPr>
          <w:rFonts w:cs="Arial"/>
          <w:color w:val="auto"/>
          <w:sz w:val="20"/>
          <w:szCs w:val="24"/>
        </w:rPr>
        <w:instrText xml:space="preserve"> SEQ Table \* ARABIC </w:instrText>
      </w:r>
      <w:r w:rsidRPr="003A7D62">
        <w:rPr>
          <w:rFonts w:cs="Arial"/>
          <w:color w:val="auto"/>
          <w:sz w:val="20"/>
          <w:szCs w:val="24"/>
        </w:rPr>
        <w:fldChar w:fldCharType="separate"/>
      </w:r>
      <w:r w:rsidR="00E01A3B">
        <w:rPr>
          <w:rFonts w:cs="Arial"/>
          <w:noProof/>
          <w:color w:val="auto"/>
          <w:sz w:val="20"/>
          <w:szCs w:val="24"/>
        </w:rPr>
        <w:t>4</w:t>
      </w:r>
      <w:r w:rsidRPr="003A7D62">
        <w:rPr>
          <w:rFonts w:cs="Arial"/>
          <w:color w:val="auto"/>
          <w:sz w:val="20"/>
          <w:szCs w:val="24"/>
        </w:rPr>
        <w:fldChar w:fldCharType="end"/>
      </w:r>
      <w:r w:rsidRPr="003A7D62">
        <w:rPr>
          <w:rFonts w:cs="Arial"/>
          <w:color w:val="auto"/>
          <w:sz w:val="20"/>
          <w:szCs w:val="24"/>
        </w:rPr>
        <w:t xml:space="preserve">: </w:t>
      </w:r>
      <w:r w:rsidR="00D44EFA" w:rsidRPr="003A7D62">
        <w:rPr>
          <w:rFonts w:cs="Arial"/>
          <w:color w:val="auto"/>
          <w:sz w:val="20"/>
          <w:szCs w:val="24"/>
        </w:rPr>
        <w:t>Infrastructure Cost per Vehicle by Fuel Type</w:t>
      </w:r>
      <w:bookmarkEnd w:id="49"/>
    </w:p>
    <w:tbl>
      <w:tblPr>
        <w:tblW w:w="5855" w:type="dxa"/>
        <w:tblInd w:w="103" w:type="dxa"/>
        <w:tblLook w:val="04A0" w:firstRow="1" w:lastRow="0" w:firstColumn="1" w:lastColumn="0" w:noHBand="0" w:noVBand="1"/>
      </w:tblPr>
      <w:tblGrid>
        <w:gridCol w:w="3695"/>
        <w:gridCol w:w="2160"/>
      </w:tblGrid>
      <w:tr w:rsidR="00D44EFA" w:rsidRPr="003A7D62" w:rsidTr="0037255D">
        <w:trPr>
          <w:trHeight w:val="284"/>
        </w:trPr>
        <w:tc>
          <w:tcPr>
            <w:tcW w:w="3695" w:type="dxa"/>
            <w:tcBorders>
              <w:top w:val="single" w:sz="4" w:space="0" w:color="auto"/>
              <w:left w:val="single" w:sz="4" w:space="0" w:color="auto"/>
              <w:bottom w:val="single" w:sz="4" w:space="0" w:color="auto"/>
              <w:right w:val="nil"/>
            </w:tcBorders>
            <w:shd w:val="clear" w:color="auto" w:fill="auto"/>
            <w:noWrap/>
            <w:vAlign w:val="center"/>
            <w:hideMark/>
          </w:tcPr>
          <w:p w:rsidR="00D44EFA" w:rsidRPr="003A7D62" w:rsidRDefault="00D44EFA" w:rsidP="005C3EC9">
            <w:pPr>
              <w:spacing w:after="0" w:line="240" w:lineRule="auto"/>
              <w:rPr>
                <w:rFonts w:eastAsia="Times New Roman" w:cs="Arial"/>
                <w:b/>
                <w:bCs/>
                <w:szCs w:val="24"/>
              </w:rPr>
            </w:pPr>
            <w:r w:rsidRPr="003A7D62">
              <w:rPr>
                <w:rFonts w:eastAsia="Times New Roman" w:cs="Arial"/>
                <w:b/>
                <w:bCs/>
                <w:szCs w:val="24"/>
              </w:rPr>
              <w:t>Fuel Type</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rsidR="00D44EFA" w:rsidRPr="003A7D62" w:rsidRDefault="00D44EFA" w:rsidP="003A7D62">
            <w:pPr>
              <w:spacing w:after="0" w:line="240" w:lineRule="auto"/>
              <w:jc w:val="center"/>
              <w:rPr>
                <w:rFonts w:eastAsia="Times New Roman" w:cs="Arial"/>
                <w:b/>
                <w:bCs/>
                <w:szCs w:val="24"/>
              </w:rPr>
            </w:pPr>
            <w:r w:rsidRPr="003A7D62">
              <w:rPr>
                <w:rFonts w:eastAsia="Times New Roman" w:cs="Arial"/>
                <w:b/>
                <w:bCs/>
                <w:szCs w:val="24"/>
              </w:rPr>
              <w:t>Infrastructure Cost Per Vehicle</w:t>
            </w:r>
          </w:p>
        </w:tc>
      </w:tr>
      <w:tr w:rsidR="00D44EFA" w:rsidRPr="003A7D62" w:rsidTr="0037255D">
        <w:trPr>
          <w:trHeight w:val="284"/>
        </w:trPr>
        <w:tc>
          <w:tcPr>
            <w:tcW w:w="3695" w:type="dxa"/>
            <w:tcBorders>
              <w:top w:val="single" w:sz="4" w:space="0" w:color="auto"/>
              <w:left w:val="single" w:sz="4" w:space="0" w:color="auto"/>
              <w:bottom w:val="nil"/>
              <w:right w:val="nil"/>
            </w:tcBorders>
            <w:shd w:val="clear" w:color="auto" w:fill="auto"/>
            <w:noWrap/>
            <w:vAlign w:val="bottom"/>
            <w:hideMark/>
          </w:tcPr>
          <w:p w:rsidR="00D44EFA" w:rsidRPr="003A7D62" w:rsidRDefault="00D44EFA" w:rsidP="005C3EC9">
            <w:pPr>
              <w:spacing w:after="0" w:line="240" w:lineRule="auto"/>
              <w:rPr>
                <w:rFonts w:eastAsia="Times New Roman" w:cs="Arial"/>
                <w:szCs w:val="24"/>
              </w:rPr>
            </w:pPr>
            <w:r w:rsidRPr="003A7D62">
              <w:rPr>
                <w:rFonts w:eastAsia="Times New Roman" w:cs="Arial"/>
                <w:szCs w:val="24"/>
              </w:rPr>
              <w:t>Natural Gas (CNG)</w:t>
            </w:r>
          </w:p>
        </w:tc>
        <w:tc>
          <w:tcPr>
            <w:tcW w:w="2160" w:type="dxa"/>
            <w:tcBorders>
              <w:top w:val="single" w:sz="4" w:space="0" w:color="auto"/>
              <w:left w:val="nil"/>
              <w:bottom w:val="nil"/>
              <w:right w:val="single" w:sz="4" w:space="0" w:color="auto"/>
            </w:tcBorders>
            <w:shd w:val="clear" w:color="auto" w:fill="auto"/>
            <w:noWrap/>
            <w:vAlign w:val="bottom"/>
            <w:hideMark/>
          </w:tcPr>
          <w:p w:rsidR="00D44EFA" w:rsidRPr="003A7D62" w:rsidRDefault="00D44EFA" w:rsidP="003A7D62">
            <w:pPr>
              <w:spacing w:after="0" w:line="240" w:lineRule="auto"/>
              <w:ind w:right="612"/>
              <w:jc w:val="right"/>
              <w:rPr>
                <w:rFonts w:eastAsia="Times New Roman" w:cs="Arial"/>
                <w:szCs w:val="24"/>
              </w:rPr>
            </w:pPr>
            <w:r w:rsidRPr="003A7D62">
              <w:rPr>
                <w:rFonts w:eastAsia="Times New Roman" w:cs="Arial"/>
                <w:szCs w:val="24"/>
              </w:rPr>
              <w:t>$1,560</w:t>
            </w:r>
          </w:p>
        </w:tc>
      </w:tr>
      <w:tr w:rsidR="00D44EFA" w:rsidRPr="003A7D62" w:rsidTr="0037255D">
        <w:trPr>
          <w:trHeight w:val="284"/>
        </w:trPr>
        <w:tc>
          <w:tcPr>
            <w:tcW w:w="3695" w:type="dxa"/>
            <w:tcBorders>
              <w:top w:val="nil"/>
              <w:left w:val="single" w:sz="4" w:space="0" w:color="auto"/>
              <w:bottom w:val="nil"/>
              <w:right w:val="nil"/>
            </w:tcBorders>
            <w:shd w:val="clear" w:color="auto" w:fill="auto"/>
            <w:noWrap/>
            <w:vAlign w:val="bottom"/>
            <w:hideMark/>
          </w:tcPr>
          <w:p w:rsidR="00D44EFA" w:rsidRPr="003A7D62" w:rsidRDefault="00D44EFA" w:rsidP="005C3EC9">
            <w:pPr>
              <w:spacing w:after="0" w:line="240" w:lineRule="auto"/>
              <w:rPr>
                <w:rFonts w:eastAsia="Times New Roman" w:cs="Arial"/>
                <w:szCs w:val="24"/>
              </w:rPr>
            </w:pPr>
            <w:r w:rsidRPr="003A7D62">
              <w:rPr>
                <w:rFonts w:eastAsia="Times New Roman" w:cs="Arial"/>
                <w:szCs w:val="24"/>
              </w:rPr>
              <w:t>Flex-Fuel (E85)</w:t>
            </w:r>
          </w:p>
        </w:tc>
        <w:tc>
          <w:tcPr>
            <w:tcW w:w="2160" w:type="dxa"/>
            <w:tcBorders>
              <w:top w:val="nil"/>
              <w:left w:val="nil"/>
              <w:bottom w:val="nil"/>
              <w:right w:val="single" w:sz="4" w:space="0" w:color="auto"/>
            </w:tcBorders>
            <w:shd w:val="clear" w:color="auto" w:fill="auto"/>
            <w:noWrap/>
            <w:vAlign w:val="bottom"/>
            <w:hideMark/>
          </w:tcPr>
          <w:p w:rsidR="00D44EFA" w:rsidRPr="003A7D62" w:rsidRDefault="00D44EFA" w:rsidP="003A7D62">
            <w:pPr>
              <w:spacing w:after="0" w:line="240" w:lineRule="auto"/>
              <w:ind w:right="612"/>
              <w:jc w:val="right"/>
              <w:rPr>
                <w:rFonts w:eastAsia="Times New Roman" w:cs="Arial"/>
                <w:szCs w:val="24"/>
              </w:rPr>
            </w:pPr>
            <w:r w:rsidRPr="003A7D62">
              <w:rPr>
                <w:rFonts w:eastAsia="Times New Roman" w:cs="Arial"/>
                <w:szCs w:val="24"/>
              </w:rPr>
              <w:t>$240</w:t>
            </w:r>
          </w:p>
        </w:tc>
      </w:tr>
      <w:tr w:rsidR="00D44EFA" w:rsidRPr="003A7D62" w:rsidTr="0037255D">
        <w:trPr>
          <w:trHeight w:val="284"/>
        </w:trPr>
        <w:tc>
          <w:tcPr>
            <w:tcW w:w="3695" w:type="dxa"/>
            <w:tcBorders>
              <w:top w:val="nil"/>
              <w:left w:val="single" w:sz="4" w:space="0" w:color="auto"/>
              <w:bottom w:val="nil"/>
              <w:right w:val="nil"/>
            </w:tcBorders>
            <w:shd w:val="clear" w:color="auto" w:fill="auto"/>
            <w:noWrap/>
            <w:vAlign w:val="bottom"/>
            <w:hideMark/>
          </w:tcPr>
          <w:p w:rsidR="00D44EFA" w:rsidRPr="003A7D62" w:rsidRDefault="00D44EFA" w:rsidP="005C3EC9">
            <w:pPr>
              <w:spacing w:after="0" w:line="240" w:lineRule="auto"/>
              <w:rPr>
                <w:rFonts w:eastAsia="Times New Roman" w:cs="Arial"/>
                <w:szCs w:val="24"/>
              </w:rPr>
            </w:pPr>
            <w:r w:rsidRPr="003A7D62">
              <w:rPr>
                <w:rFonts w:eastAsia="Times New Roman" w:cs="Arial"/>
                <w:szCs w:val="24"/>
              </w:rPr>
              <w:t>Plug-in Electric (BEV &amp; PHEV)</w:t>
            </w:r>
          </w:p>
        </w:tc>
        <w:tc>
          <w:tcPr>
            <w:tcW w:w="2160" w:type="dxa"/>
            <w:tcBorders>
              <w:top w:val="nil"/>
              <w:left w:val="nil"/>
              <w:bottom w:val="nil"/>
              <w:right w:val="single" w:sz="4" w:space="0" w:color="auto"/>
            </w:tcBorders>
            <w:shd w:val="clear" w:color="auto" w:fill="auto"/>
            <w:noWrap/>
            <w:vAlign w:val="bottom"/>
            <w:hideMark/>
          </w:tcPr>
          <w:p w:rsidR="00D44EFA" w:rsidRPr="003A7D62" w:rsidRDefault="00D44EFA" w:rsidP="003A7D62">
            <w:pPr>
              <w:spacing w:after="0" w:line="240" w:lineRule="auto"/>
              <w:ind w:right="612"/>
              <w:jc w:val="right"/>
              <w:rPr>
                <w:rFonts w:eastAsia="Times New Roman" w:cs="Arial"/>
                <w:szCs w:val="24"/>
              </w:rPr>
            </w:pPr>
            <w:r w:rsidRPr="003A7D62">
              <w:rPr>
                <w:rFonts w:eastAsia="Times New Roman" w:cs="Arial"/>
                <w:szCs w:val="24"/>
              </w:rPr>
              <w:t>$2,160</w:t>
            </w:r>
          </w:p>
        </w:tc>
      </w:tr>
      <w:tr w:rsidR="00D44EFA" w:rsidRPr="003A7D62" w:rsidTr="0037255D">
        <w:trPr>
          <w:trHeight w:val="284"/>
        </w:trPr>
        <w:tc>
          <w:tcPr>
            <w:tcW w:w="3695" w:type="dxa"/>
            <w:tcBorders>
              <w:top w:val="nil"/>
              <w:left w:val="single" w:sz="4" w:space="0" w:color="auto"/>
              <w:bottom w:val="single" w:sz="4" w:space="0" w:color="auto"/>
              <w:right w:val="nil"/>
            </w:tcBorders>
            <w:shd w:val="clear" w:color="auto" w:fill="auto"/>
            <w:noWrap/>
            <w:vAlign w:val="bottom"/>
            <w:hideMark/>
          </w:tcPr>
          <w:p w:rsidR="00D44EFA" w:rsidRPr="003A7D62" w:rsidRDefault="00D44EFA" w:rsidP="005C3EC9">
            <w:pPr>
              <w:spacing w:after="0" w:line="240" w:lineRule="auto"/>
              <w:rPr>
                <w:rFonts w:eastAsia="Times New Roman" w:cs="Arial"/>
                <w:szCs w:val="24"/>
              </w:rPr>
            </w:pPr>
            <w:r w:rsidRPr="003A7D62">
              <w:rPr>
                <w:rFonts w:eastAsia="Times New Roman" w:cs="Arial"/>
                <w:szCs w:val="24"/>
              </w:rPr>
              <w:t>Hydrogen (Fuel Cell)</w:t>
            </w:r>
          </w:p>
        </w:tc>
        <w:tc>
          <w:tcPr>
            <w:tcW w:w="2160" w:type="dxa"/>
            <w:tcBorders>
              <w:top w:val="nil"/>
              <w:left w:val="nil"/>
              <w:bottom w:val="single" w:sz="4" w:space="0" w:color="auto"/>
              <w:right w:val="single" w:sz="4" w:space="0" w:color="auto"/>
            </w:tcBorders>
            <w:shd w:val="clear" w:color="auto" w:fill="auto"/>
            <w:noWrap/>
            <w:vAlign w:val="bottom"/>
            <w:hideMark/>
          </w:tcPr>
          <w:p w:rsidR="00D44EFA" w:rsidRPr="003A7D62" w:rsidRDefault="00D44EFA" w:rsidP="003A7D62">
            <w:pPr>
              <w:spacing w:after="0" w:line="240" w:lineRule="auto"/>
              <w:ind w:right="612"/>
              <w:jc w:val="right"/>
              <w:rPr>
                <w:rFonts w:eastAsia="Times New Roman" w:cs="Arial"/>
                <w:szCs w:val="24"/>
              </w:rPr>
            </w:pPr>
            <w:r w:rsidRPr="003A7D62">
              <w:rPr>
                <w:rFonts w:eastAsia="Times New Roman" w:cs="Arial"/>
                <w:szCs w:val="24"/>
              </w:rPr>
              <w:t>$4,840</w:t>
            </w:r>
          </w:p>
        </w:tc>
      </w:tr>
    </w:tbl>
    <w:p w:rsidR="008D0F3F" w:rsidRPr="001F4DED" w:rsidRDefault="008D0F3F" w:rsidP="00D44EFA">
      <w:pPr>
        <w:spacing w:after="0"/>
        <w:rPr>
          <w:rFonts w:cs="Arial"/>
          <w:sz w:val="18"/>
          <w:szCs w:val="24"/>
        </w:rPr>
      </w:pPr>
      <w:r w:rsidRPr="001F4DED">
        <w:rPr>
          <w:rFonts w:cs="Arial"/>
          <w:sz w:val="18"/>
          <w:szCs w:val="24"/>
        </w:rPr>
        <w:t>Note: Calculations based on assumptions from Table 3 as well as infrastructure cost estimates</w:t>
      </w:r>
    </w:p>
    <w:p w:rsidR="008D0F3F" w:rsidRPr="008720F3" w:rsidRDefault="008D0F3F" w:rsidP="00C11B36">
      <w:pPr>
        <w:spacing w:line="240" w:lineRule="auto"/>
        <w:rPr>
          <w:rFonts w:cs="Arial"/>
          <w:i/>
          <w:sz w:val="20"/>
          <w:szCs w:val="24"/>
        </w:rPr>
      </w:pPr>
      <w:r w:rsidRPr="008720F3">
        <w:rPr>
          <w:rFonts w:cs="Arial"/>
          <w:i/>
          <w:sz w:val="20"/>
          <w:szCs w:val="24"/>
        </w:rPr>
        <w:t>Sources: Eaton 2012, eTec 2010, GE 2012, Melaina and Penev 2012, Moriarty et al. 2009, Morrow et al. 2008, NAS 2010, and TIAX 2012</w:t>
      </w:r>
    </w:p>
    <w:p w:rsidR="00D44EFA" w:rsidRPr="003A7D62" w:rsidRDefault="00D44EFA" w:rsidP="00D44EFA">
      <w:pPr>
        <w:rPr>
          <w:rFonts w:cs="Arial"/>
          <w:szCs w:val="24"/>
        </w:rPr>
      </w:pPr>
      <w:r w:rsidRPr="003A7D62">
        <w:rPr>
          <w:rFonts w:cs="Arial"/>
          <w:szCs w:val="24"/>
        </w:rPr>
        <w:t>Service stations cost well over $1 million per site</w:t>
      </w:r>
      <w:r w:rsidR="007C0E55" w:rsidRPr="003A7D62">
        <w:rPr>
          <w:rFonts w:cs="Arial"/>
          <w:szCs w:val="24"/>
        </w:rPr>
        <w:t>,</w:t>
      </w:r>
      <w:r w:rsidRPr="003A7D62">
        <w:rPr>
          <w:rFonts w:cs="Arial"/>
          <w:szCs w:val="24"/>
        </w:rPr>
        <w:t xml:space="preserve"> including the cost of real estate</w:t>
      </w:r>
      <w:r w:rsidR="007C0E55" w:rsidRPr="003A7D62">
        <w:rPr>
          <w:rFonts w:cs="Arial"/>
          <w:szCs w:val="24"/>
        </w:rPr>
        <w:t>.</w:t>
      </w:r>
      <w:r w:rsidRPr="003A7D62">
        <w:rPr>
          <w:rFonts w:cs="Arial"/>
          <w:szCs w:val="24"/>
        </w:rPr>
        <w:t xml:space="preserve"> </w:t>
      </w:r>
      <w:r w:rsidR="007C0E55" w:rsidRPr="003A7D62">
        <w:rPr>
          <w:rFonts w:cs="Arial"/>
          <w:szCs w:val="24"/>
        </w:rPr>
        <w:t>I</w:t>
      </w:r>
      <w:r w:rsidRPr="003A7D62">
        <w:rPr>
          <w:rFonts w:cs="Arial"/>
          <w:szCs w:val="24"/>
        </w:rPr>
        <w:t xml:space="preserve">f one were to reproduce the current 160,000 service stations that currently provide gasoline, it would cost well over </w:t>
      </w:r>
      <w:r w:rsidR="00F42C60" w:rsidRPr="003A7D62">
        <w:rPr>
          <w:rFonts w:cs="Arial"/>
          <w:szCs w:val="24"/>
        </w:rPr>
        <w:t>$</w:t>
      </w:r>
      <w:r w:rsidRPr="003A7D62">
        <w:rPr>
          <w:rFonts w:cs="Arial"/>
          <w:szCs w:val="24"/>
        </w:rPr>
        <w:t>160 billion, or $670 per vehicle.</w:t>
      </w:r>
      <w:r w:rsidRPr="003A7D62">
        <w:rPr>
          <w:rStyle w:val="FootnoteReference"/>
          <w:rFonts w:cs="Arial"/>
          <w:szCs w:val="24"/>
        </w:rPr>
        <w:footnoteReference w:id="143"/>
      </w:r>
      <w:r w:rsidRPr="003A7D62">
        <w:rPr>
          <w:rFonts w:cs="Arial"/>
          <w:szCs w:val="24"/>
        </w:rPr>
        <w:t xml:space="preserve"> </w:t>
      </w:r>
      <w:r w:rsidR="007C0E55" w:rsidRPr="003A7D62">
        <w:rPr>
          <w:rFonts w:cs="Arial"/>
          <w:szCs w:val="24"/>
        </w:rPr>
        <w:t>Since</w:t>
      </w:r>
      <w:r w:rsidRPr="003A7D62">
        <w:rPr>
          <w:rFonts w:cs="Arial"/>
          <w:szCs w:val="24"/>
        </w:rPr>
        <w:t xml:space="preserve"> many of these costs have already been paid, it is easier to create infrastructure for new fuels. For instance, underground storage tanks can </w:t>
      </w:r>
      <w:r w:rsidR="00952E46">
        <w:rPr>
          <w:rFonts w:cs="Arial"/>
          <w:szCs w:val="24"/>
        </w:rPr>
        <w:t xml:space="preserve">be </w:t>
      </w:r>
      <w:r w:rsidRPr="003A7D62">
        <w:rPr>
          <w:rFonts w:cs="Arial"/>
          <w:szCs w:val="24"/>
        </w:rPr>
        <w:t>retrofit</w:t>
      </w:r>
      <w:r w:rsidR="00952E46">
        <w:rPr>
          <w:rFonts w:cs="Arial"/>
          <w:szCs w:val="24"/>
        </w:rPr>
        <w:t>ted</w:t>
      </w:r>
      <w:r w:rsidRPr="003A7D62">
        <w:rPr>
          <w:rFonts w:cs="Arial"/>
          <w:szCs w:val="24"/>
        </w:rPr>
        <w:t xml:space="preserve"> to store new fuel types</w:t>
      </w:r>
      <w:r w:rsidR="007C0E55" w:rsidRPr="003A7D62">
        <w:rPr>
          <w:rFonts w:cs="Arial"/>
          <w:szCs w:val="24"/>
        </w:rPr>
        <w:t>;</w:t>
      </w:r>
      <w:r w:rsidRPr="003A7D62">
        <w:rPr>
          <w:rFonts w:cs="Arial"/>
          <w:szCs w:val="24"/>
        </w:rPr>
        <w:t xml:space="preserve"> the average refueling station in an urban area has significant unused space that could be used for the installation of new tanks.</w:t>
      </w:r>
      <w:r w:rsidRPr="003A7D62">
        <w:rPr>
          <w:rStyle w:val="FootnoteReference"/>
          <w:rFonts w:cs="Arial"/>
          <w:szCs w:val="24"/>
        </w:rPr>
        <w:footnoteReference w:id="144"/>
      </w:r>
      <w:r w:rsidRPr="003A7D62">
        <w:rPr>
          <w:rFonts w:cs="Arial"/>
          <w:szCs w:val="24"/>
        </w:rPr>
        <w:t xml:space="preserve"> </w:t>
      </w:r>
      <w:r w:rsidR="00537BC9" w:rsidRPr="003A7D62">
        <w:rPr>
          <w:rFonts w:cs="Arial"/>
          <w:szCs w:val="24"/>
        </w:rPr>
        <w:t xml:space="preserve">Stations in rural and suburban environments </w:t>
      </w:r>
      <w:r w:rsidR="00120EEE" w:rsidRPr="003A7D62">
        <w:rPr>
          <w:rFonts w:cs="Arial"/>
          <w:szCs w:val="24"/>
        </w:rPr>
        <w:t xml:space="preserve">tend to </w:t>
      </w:r>
      <w:r w:rsidR="00537BC9" w:rsidRPr="003A7D62">
        <w:rPr>
          <w:rFonts w:cs="Arial"/>
          <w:szCs w:val="24"/>
        </w:rPr>
        <w:t xml:space="preserve">have even more </w:t>
      </w:r>
      <w:r w:rsidR="00120EEE" w:rsidRPr="003A7D62">
        <w:rPr>
          <w:rFonts w:cs="Arial"/>
          <w:szCs w:val="24"/>
        </w:rPr>
        <w:t>unused space available.</w:t>
      </w:r>
    </w:p>
    <w:p w:rsidR="00D839B9" w:rsidRPr="008720F3" w:rsidRDefault="00D839B9" w:rsidP="003A7D62">
      <w:pPr>
        <w:pStyle w:val="Heading2"/>
      </w:pPr>
      <w:bookmarkStart w:id="50" w:name="_Toc352854203"/>
      <w:r w:rsidRPr="008720F3">
        <w:t>Comparison of Infrastructure Costs to Other Estimates</w:t>
      </w:r>
      <w:bookmarkEnd w:id="50"/>
    </w:p>
    <w:p w:rsidR="00517332" w:rsidRPr="003A7D62" w:rsidRDefault="00D44EFA" w:rsidP="00E87435">
      <w:pPr>
        <w:rPr>
          <w:rFonts w:cs="Arial"/>
          <w:szCs w:val="24"/>
        </w:rPr>
      </w:pPr>
      <w:r w:rsidRPr="003A7D62">
        <w:rPr>
          <w:rFonts w:cs="Arial"/>
          <w:szCs w:val="24"/>
        </w:rPr>
        <w:t>The infrastructure costs per vehicle</w:t>
      </w:r>
      <w:r w:rsidR="007C0E55" w:rsidRPr="003A7D62">
        <w:rPr>
          <w:rFonts w:cs="Arial"/>
          <w:szCs w:val="24"/>
        </w:rPr>
        <w:t>,</w:t>
      </w:r>
      <w:r w:rsidRPr="003A7D62">
        <w:rPr>
          <w:rFonts w:cs="Arial"/>
          <w:szCs w:val="24"/>
        </w:rPr>
        <w:t xml:space="preserve"> detailed in </w:t>
      </w:r>
      <w:r w:rsidR="005F35F9" w:rsidRPr="003A7D62">
        <w:rPr>
          <w:rFonts w:cs="Arial"/>
          <w:szCs w:val="24"/>
        </w:rPr>
        <w:t>Table</w:t>
      </w:r>
      <w:r w:rsidR="00E87435" w:rsidRPr="003A7D62">
        <w:rPr>
          <w:rFonts w:cs="Arial"/>
          <w:szCs w:val="24"/>
        </w:rPr>
        <w:t xml:space="preserve"> 4</w:t>
      </w:r>
      <w:r w:rsidR="007C0E55" w:rsidRPr="003A7D62">
        <w:rPr>
          <w:rFonts w:cs="Arial"/>
          <w:szCs w:val="24"/>
        </w:rPr>
        <w:t>,</w:t>
      </w:r>
      <w:r w:rsidRPr="003A7D62">
        <w:rPr>
          <w:rFonts w:cs="Arial"/>
          <w:szCs w:val="24"/>
        </w:rPr>
        <w:t xml:space="preserve"> are similar to those cited by the NPC in a recent publication.</w:t>
      </w:r>
      <w:r w:rsidRPr="003A7D62">
        <w:rPr>
          <w:rStyle w:val="FootnoteReference"/>
          <w:rFonts w:cs="Arial"/>
          <w:szCs w:val="24"/>
        </w:rPr>
        <w:footnoteReference w:id="145"/>
      </w:r>
      <w:r w:rsidRPr="003A7D62">
        <w:rPr>
          <w:rFonts w:cs="Arial"/>
          <w:szCs w:val="24"/>
        </w:rPr>
        <w:t xml:space="preserve"> The NPC paper calculated </w:t>
      </w:r>
      <w:r w:rsidR="007C0E55" w:rsidRPr="003A7D62">
        <w:rPr>
          <w:rFonts w:cs="Arial"/>
          <w:szCs w:val="24"/>
        </w:rPr>
        <w:t xml:space="preserve">the </w:t>
      </w:r>
      <w:r w:rsidR="00BA39C4" w:rsidRPr="003A7D62">
        <w:rPr>
          <w:rFonts w:cs="Arial"/>
          <w:szCs w:val="24"/>
        </w:rPr>
        <w:t>cost to build</w:t>
      </w:r>
      <w:r w:rsidR="007C0E55" w:rsidRPr="003A7D62">
        <w:rPr>
          <w:rFonts w:cs="Arial"/>
          <w:szCs w:val="24"/>
        </w:rPr>
        <w:t xml:space="preserve"> </w:t>
      </w:r>
      <w:r w:rsidRPr="003A7D62">
        <w:rPr>
          <w:rFonts w:cs="Arial"/>
          <w:szCs w:val="24"/>
        </w:rPr>
        <w:t>infrastructure to dispense alternat</w:t>
      </w:r>
      <w:r w:rsidR="00BA39C4" w:rsidRPr="003A7D62">
        <w:rPr>
          <w:rFonts w:cs="Arial"/>
          <w:szCs w:val="24"/>
        </w:rPr>
        <w:t>ive fuels if one-</w:t>
      </w:r>
      <w:r w:rsidRPr="003A7D62">
        <w:rPr>
          <w:rFonts w:cs="Arial"/>
          <w:szCs w:val="24"/>
        </w:rPr>
        <w:t>third of gasoline consumption was replaced by an alternative fuel. Assuming that the average fuel economy of vehicles converting to alternative fuels is equal to the average economy of vehicles using gasoline, NPC’s aggregate estimates of infrastructure cost can be converted to per vehicle terms by dividing them by 80,000,000.</w:t>
      </w:r>
      <w:r w:rsidRPr="003A7D62">
        <w:rPr>
          <w:rStyle w:val="FootnoteReference"/>
          <w:rFonts w:cs="Arial"/>
          <w:szCs w:val="24"/>
        </w:rPr>
        <w:footnoteReference w:id="146"/>
      </w:r>
      <w:r w:rsidRPr="003A7D62">
        <w:rPr>
          <w:rFonts w:cs="Arial"/>
          <w:szCs w:val="24"/>
        </w:rPr>
        <w:t xml:space="preserve"> Table </w:t>
      </w:r>
      <w:r w:rsidR="00E87435" w:rsidRPr="003A7D62">
        <w:rPr>
          <w:rFonts w:cs="Arial"/>
          <w:szCs w:val="24"/>
        </w:rPr>
        <w:t>5</w:t>
      </w:r>
      <w:r w:rsidRPr="003A7D62">
        <w:rPr>
          <w:rFonts w:cs="Arial"/>
          <w:szCs w:val="24"/>
        </w:rPr>
        <w:t xml:space="preserve"> displays the range of estimates from the NPC along with the estimates produced in this paper. </w:t>
      </w:r>
    </w:p>
    <w:p w:rsidR="00D44EFA" w:rsidRPr="003A7D62" w:rsidRDefault="005F35F9" w:rsidP="00984B07">
      <w:pPr>
        <w:pStyle w:val="Caption"/>
        <w:keepNext/>
        <w:spacing w:after="60" w:line="276" w:lineRule="auto"/>
        <w:rPr>
          <w:rFonts w:cs="Arial"/>
          <w:color w:val="auto"/>
          <w:sz w:val="20"/>
          <w:szCs w:val="24"/>
        </w:rPr>
      </w:pPr>
      <w:bookmarkStart w:id="51" w:name="_Toc352249445"/>
      <w:r w:rsidRPr="003A7D62">
        <w:rPr>
          <w:rFonts w:cs="Arial"/>
          <w:color w:val="auto"/>
          <w:sz w:val="20"/>
          <w:szCs w:val="24"/>
        </w:rPr>
        <w:t xml:space="preserve">Table </w:t>
      </w:r>
      <w:r w:rsidRPr="003A7D62">
        <w:rPr>
          <w:rFonts w:cs="Arial"/>
          <w:color w:val="auto"/>
          <w:sz w:val="20"/>
          <w:szCs w:val="24"/>
        </w:rPr>
        <w:fldChar w:fldCharType="begin"/>
      </w:r>
      <w:r w:rsidRPr="003A7D62">
        <w:rPr>
          <w:rFonts w:cs="Arial"/>
          <w:color w:val="auto"/>
          <w:sz w:val="20"/>
          <w:szCs w:val="24"/>
        </w:rPr>
        <w:instrText xml:space="preserve"> SEQ Table \* ARABIC </w:instrText>
      </w:r>
      <w:r w:rsidRPr="003A7D62">
        <w:rPr>
          <w:rFonts w:cs="Arial"/>
          <w:color w:val="auto"/>
          <w:sz w:val="20"/>
          <w:szCs w:val="24"/>
        </w:rPr>
        <w:fldChar w:fldCharType="separate"/>
      </w:r>
      <w:r w:rsidR="00E01A3B">
        <w:rPr>
          <w:rFonts w:cs="Arial"/>
          <w:noProof/>
          <w:color w:val="auto"/>
          <w:sz w:val="20"/>
          <w:szCs w:val="24"/>
        </w:rPr>
        <w:t>5</w:t>
      </w:r>
      <w:r w:rsidRPr="003A7D62">
        <w:rPr>
          <w:rFonts w:cs="Arial"/>
          <w:color w:val="auto"/>
          <w:sz w:val="20"/>
          <w:szCs w:val="24"/>
        </w:rPr>
        <w:fldChar w:fldCharType="end"/>
      </w:r>
      <w:r w:rsidRPr="003A7D62">
        <w:rPr>
          <w:rFonts w:cs="Arial"/>
          <w:color w:val="auto"/>
          <w:sz w:val="20"/>
          <w:szCs w:val="24"/>
        </w:rPr>
        <w:t xml:space="preserve">: </w:t>
      </w:r>
      <w:r w:rsidR="00D44EFA" w:rsidRPr="003A7D62">
        <w:rPr>
          <w:rFonts w:cs="Arial"/>
          <w:color w:val="auto"/>
          <w:sz w:val="20"/>
          <w:szCs w:val="24"/>
        </w:rPr>
        <w:t>NPC Estimate of Infrastructure Cost per Vehicle by Fuel Type</w:t>
      </w:r>
      <w:bookmarkEnd w:id="51"/>
    </w:p>
    <w:tbl>
      <w:tblPr>
        <w:tblW w:w="6305" w:type="dxa"/>
        <w:tblInd w:w="103" w:type="dxa"/>
        <w:tblLayout w:type="fixed"/>
        <w:tblLook w:val="04A0" w:firstRow="1" w:lastRow="0" w:firstColumn="1" w:lastColumn="0" w:noHBand="0" w:noVBand="1"/>
      </w:tblPr>
      <w:tblGrid>
        <w:gridCol w:w="3605"/>
        <w:gridCol w:w="1350"/>
        <w:gridCol w:w="1350"/>
      </w:tblGrid>
      <w:tr w:rsidR="00D44EFA" w:rsidRPr="003A7D62" w:rsidTr="005C3EC9">
        <w:trPr>
          <w:trHeight w:val="284"/>
        </w:trPr>
        <w:tc>
          <w:tcPr>
            <w:tcW w:w="3605" w:type="dxa"/>
            <w:tcBorders>
              <w:top w:val="single" w:sz="4" w:space="0" w:color="auto"/>
              <w:left w:val="single" w:sz="4" w:space="0" w:color="auto"/>
              <w:bottom w:val="single" w:sz="4" w:space="0" w:color="auto"/>
              <w:right w:val="nil"/>
            </w:tcBorders>
            <w:shd w:val="clear" w:color="auto" w:fill="auto"/>
            <w:noWrap/>
            <w:vAlign w:val="center"/>
            <w:hideMark/>
          </w:tcPr>
          <w:p w:rsidR="00D44EFA" w:rsidRPr="003A7D62" w:rsidRDefault="00D44EFA" w:rsidP="005C3EC9">
            <w:pPr>
              <w:spacing w:after="0" w:line="240" w:lineRule="auto"/>
              <w:rPr>
                <w:rFonts w:eastAsia="Times New Roman" w:cs="Arial"/>
                <w:b/>
                <w:bCs/>
                <w:szCs w:val="24"/>
              </w:rPr>
            </w:pPr>
            <w:r w:rsidRPr="003A7D62">
              <w:rPr>
                <w:rFonts w:eastAsia="Times New Roman" w:cs="Arial"/>
                <w:b/>
                <w:bCs/>
                <w:szCs w:val="24"/>
              </w:rPr>
              <w:t>Fuel Type</w:t>
            </w:r>
          </w:p>
        </w:tc>
        <w:tc>
          <w:tcPr>
            <w:tcW w:w="1350" w:type="dxa"/>
            <w:tcBorders>
              <w:top w:val="single" w:sz="4" w:space="0" w:color="auto"/>
              <w:left w:val="nil"/>
              <w:bottom w:val="single" w:sz="4" w:space="0" w:color="auto"/>
              <w:right w:val="nil"/>
            </w:tcBorders>
            <w:vAlign w:val="center"/>
          </w:tcPr>
          <w:p w:rsidR="00D44EFA" w:rsidRPr="003A7D62" w:rsidRDefault="00D44EFA" w:rsidP="003A7D62">
            <w:pPr>
              <w:spacing w:after="0" w:line="240" w:lineRule="auto"/>
              <w:jc w:val="center"/>
              <w:rPr>
                <w:rFonts w:eastAsia="Times New Roman" w:cs="Arial"/>
                <w:b/>
                <w:bCs/>
                <w:szCs w:val="24"/>
              </w:rPr>
            </w:pPr>
            <w:r w:rsidRPr="003A7D62">
              <w:rPr>
                <w:rFonts w:eastAsia="Times New Roman" w:cs="Arial"/>
                <w:b/>
                <w:bCs/>
                <w:szCs w:val="24"/>
              </w:rPr>
              <w:t>NPC Low</w:t>
            </w:r>
          </w:p>
        </w:tc>
        <w:tc>
          <w:tcPr>
            <w:tcW w:w="1350" w:type="dxa"/>
            <w:tcBorders>
              <w:top w:val="single" w:sz="4" w:space="0" w:color="auto"/>
              <w:left w:val="nil"/>
              <w:bottom w:val="single" w:sz="4" w:space="0" w:color="auto"/>
              <w:right w:val="single" w:sz="4" w:space="0" w:color="auto"/>
            </w:tcBorders>
            <w:vAlign w:val="center"/>
          </w:tcPr>
          <w:p w:rsidR="00D44EFA" w:rsidRPr="003A7D62" w:rsidRDefault="00D44EFA" w:rsidP="003A7D62">
            <w:pPr>
              <w:spacing w:after="0" w:line="240" w:lineRule="auto"/>
              <w:jc w:val="center"/>
              <w:rPr>
                <w:rFonts w:eastAsia="Times New Roman" w:cs="Arial"/>
                <w:b/>
                <w:bCs/>
                <w:szCs w:val="24"/>
              </w:rPr>
            </w:pPr>
            <w:r w:rsidRPr="003A7D62">
              <w:rPr>
                <w:rFonts w:eastAsia="Times New Roman" w:cs="Arial"/>
                <w:b/>
                <w:bCs/>
                <w:szCs w:val="24"/>
              </w:rPr>
              <w:t>NPC High</w:t>
            </w:r>
          </w:p>
        </w:tc>
      </w:tr>
      <w:tr w:rsidR="00D44EFA" w:rsidRPr="003A7D62" w:rsidTr="005C3EC9">
        <w:trPr>
          <w:trHeight w:val="284"/>
        </w:trPr>
        <w:tc>
          <w:tcPr>
            <w:tcW w:w="3605" w:type="dxa"/>
            <w:tcBorders>
              <w:top w:val="single" w:sz="4" w:space="0" w:color="auto"/>
              <w:left w:val="single" w:sz="4" w:space="0" w:color="auto"/>
              <w:bottom w:val="nil"/>
            </w:tcBorders>
            <w:shd w:val="clear" w:color="auto" w:fill="auto"/>
            <w:noWrap/>
            <w:vAlign w:val="bottom"/>
            <w:hideMark/>
          </w:tcPr>
          <w:p w:rsidR="00D44EFA" w:rsidRPr="003A7D62" w:rsidRDefault="00D44EFA" w:rsidP="005C3EC9">
            <w:pPr>
              <w:spacing w:after="0" w:line="240" w:lineRule="auto"/>
              <w:rPr>
                <w:rFonts w:eastAsia="Times New Roman" w:cs="Arial"/>
                <w:szCs w:val="24"/>
              </w:rPr>
            </w:pPr>
            <w:r w:rsidRPr="003A7D62">
              <w:rPr>
                <w:rFonts w:eastAsia="Times New Roman" w:cs="Arial"/>
                <w:szCs w:val="24"/>
              </w:rPr>
              <w:t>Natural Gas (CNG)</w:t>
            </w:r>
          </w:p>
        </w:tc>
        <w:tc>
          <w:tcPr>
            <w:tcW w:w="1350" w:type="dxa"/>
            <w:tcBorders>
              <w:top w:val="single" w:sz="4" w:space="0" w:color="auto"/>
            </w:tcBorders>
          </w:tcPr>
          <w:p w:rsidR="00D44EFA" w:rsidRPr="003A7D62" w:rsidRDefault="00D44EFA" w:rsidP="003A7D62">
            <w:pPr>
              <w:spacing w:after="0" w:line="240" w:lineRule="auto"/>
              <w:ind w:right="252"/>
              <w:jc w:val="right"/>
              <w:rPr>
                <w:rFonts w:eastAsia="Times New Roman" w:cs="Arial"/>
                <w:szCs w:val="24"/>
              </w:rPr>
            </w:pPr>
            <w:r w:rsidRPr="003A7D62">
              <w:rPr>
                <w:rFonts w:eastAsia="Times New Roman" w:cs="Arial"/>
                <w:szCs w:val="24"/>
              </w:rPr>
              <w:t>$1,250</w:t>
            </w:r>
          </w:p>
        </w:tc>
        <w:tc>
          <w:tcPr>
            <w:tcW w:w="1350" w:type="dxa"/>
            <w:tcBorders>
              <w:top w:val="single" w:sz="4" w:space="0" w:color="auto"/>
              <w:right w:val="single" w:sz="4" w:space="0" w:color="auto"/>
            </w:tcBorders>
          </w:tcPr>
          <w:p w:rsidR="00D44EFA" w:rsidRPr="003A7D62" w:rsidRDefault="00D44EFA" w:rsidP="003A7D62">
            <w:pPr>
              <w:spacing w:after="0" w:line="240" w:lineRule="auto"/>
              <w:ind w:right="252"/>
              <w:jc w:val="right"/>
              <w:rPr>
                <w:rFonts w:eastAsia="Times New Roman" w:cs="Arial"/>
                <w:szCs w:val="24"/>
              </w:rPr>
            </w:pPr>
            <w:r w:rsidRPr="003A7D62">
              <w:rPr>
                <w:rFonts w:eastAsia="Times New Roman" w:cs="Arial"/>
                <w:szCs w:val="24"/>
              </w:rPr>
              <w:t>$2,500</w:t>
            </w:r>
          </w:p>
        </w:tc>
      </w:tr>
      <w:tr w:rsidR="00D44EFA" w:rsidRPr="003A7D62" w:rsidTr="005C3EC9">
        <w:trPr>
          <w:trHeight w:val="284"/>
        </w:trPr>
        <w:tc>
          <w:tcPr>
            <w:tcW w:w="3605" w:type="dxa"/>
            <w:tcBorders>
              <w:top w:val="nil"/>
              <w:left w:val="single" w:sz="4" w:space="0" w:color="auto"/>
              <w:bottom w:val="nil"/>
            </w:tcBorders>
            <w:shd w:val="clear" w:color="auto" w:fill="auto"/>
            <w:noWrap/>
            <w:vAlign w:val="bottom"/>
            <w:hideMark/>
          </w:tcPr>
          <w:p w:rsidR="00D44EFA" w:rsidRPr="003A7D62" w:rsidRDefault="00D44EFA" w:rsidP="005C3EC9">
            <w:pPr>
              <w:spacing w:after="0" w:line="240" w:lineRule="auto"/>
              <w:rPr>
                <w:rFonts w:eastAsia="Times New Roman" w:cs="Arial"/>
                <w:szCs w:val="24"/>
              </w:rPr>
            </w:pPr>
            <w:r w:rsidRPr="003A7D62">
              <w:rPr>
                <w:rFonts w:eastAsia="Times New Roman" w:cs="Arial"/>
                <w:szCs w:val="24"/>
              </w:rPr>
              <w:t>Flex-Fuel (E85)</w:t>
            </w:r>
          </w:p>
        </w:tc>
        <w:tc>
          <w:tcPr>
            <w:tcW w:w="1350" w:type="dxa"/>
          </w:tcPr>
          <w:p w:rsidR="00D44EFA" w:rsidRPr="003A7D62" w:rsidRDefault="00D44EFA" w:rsidP="003A7D62">
            <w:pPr>
              <w:spacing w:after="0" w:line="240" w:lineRule="auto"/>
              <w:ind w:right="252"/>
              <w:jc w:val="right"/>
              <w:rPr>
                <w:rFonts w:eastAsia="Times New Roman" w:cs="Arial"/>
                <w:szCs w:val="24"/>
              </w:rPr>
            </w:pPr>
            <w:r w:rsidRPr="003A7D62">
              <w:rPr>
                <w:rFonts w:eastAsia="Times New Roman" w:cs="Arial"/>
                <w:szCs w:val="24"/>
              </w:rPr>
              <w:t>$250</w:t>
            </w:r>
          </w:p>
        </w:tc>
        <w:tc>
          <w:tcPr>
            <w:tcW w:w="1350" w:type="dxa"/>
            <w:tcBorders>
              <w:right w:val="single" w:sz="4" w:space="0" w:color="auto"/>
            </w:tcBorders>
          </w:tcPr>
          <w:p w:rsidR="00D44EFA" w:rsidRPr="003A7D62" w:rsidRDefault="00D44EFA" w:rsidP="003A7D62">
            <w:pPr>
              <w:spacing w:after="0" w:line="240" w:lineRule="auto"/>
              <w:ind w:right="252"/>
              <w:jc w:val="right"/>
              <w:rPr>
                <w:rFonts w:eastAsia="Times New Roman" w:cs="Arial"/>
                <w:szCs w:val="24"/>
              </w:rPr>
            </w:pPr>
            <w:r w:rsidRPr="003A7D62">
              <w:rPr>
                <w:rFonts w:eastAsia="Times New Roman" w:cs="Arial"/>
                <w:szCs w:val="24"/>
              </w:rPr>
              <w:t>$500</w:t>
            </w:r>
          </w:p>
        </w:tc>
      </w:tr>
      <w:tr w:rsidR="00D44EFA" w:rsidRPr="003A7D62" w:rsidTr="005C3EC9">
        <w:trPr>
          <w:trHeight w:val="284"/>
        </w:trPr>
        <w:tc>
          <w:tcPr>
            <w:tcW w:w="3605" w:type="dxa"/>
            <w:tcBorders>
              <w:top w:val="nil"/>
              <w:left w:val="single" w:sz="4" w:space="0" w:color="auto"/>
              <w:bottom w:val="nil"/>
            </w:tcBorders>
            <w:shd w:val="clear" w:color="auto" w:fill="auto"/>
            <w:noWrap/>
            <w:vAlign w:val="bottom"/>
            <w:hideMark/>
          </w:tcPr>
          <w:p w:rsidR="00D44EFA" w:rsidRPr="003A7D62" w:rsidRDefault="00D44EFA" w:rsidP="005C3EC9">
            <w:pPr>
              <w:spacing w:after="0" w:line="240" w:lineRule="auto"/>
              <w:rPr>
                <w:rFonts w:eastAsia="Times New Roman" w:cs="Arial"/>
                <w:szCs w:val="24"/>
              </w:rPr>
            </w:pPr>
            <w:r w:rsidRPr="003A7D62">
              <w:rPr>
                <w:rFonts w:eastAsia="Times New Roman" w:cs="Arial"/>
                <w:szCs w:val="24"/>
              </w:rPr>
              <w:t>Plug-in Electric (BEV &amp; PHEV)</w:t>
            </w:r>
          </w:p>
        </w:tc>
        <w:tc>
          <w:tcPr>
            <w:tcW w:w="1350" w:type="dxa"/>
          </w:tcPr>
          <w:p w:rsidR="00D44EFA" w:rsidRPr="003A7D62" w:rsidRDefault="00D44EFA" w:rsidP="003A7D62">
            <w:pPr>
              <w:spacing w:after="0" w:line="240" w:lineRule="auto"/>
              <w:ind w:right="252"/>
              <w:jc w:val="right"/>
              <w:rPr>
                <w:rFonts w:eastAsia="Times New Roman" w:cs="Arial"/>
                <w:szCs w:val="24"/>
              </w:rPr>
            </w:pPr>
            <w:r w:rsidRPr="003A7D62">
              <w:rPr>
                <w:rFonts w:eastAsia="Times New Roman" w:cs="Arial"/>
                <w:szCs w:val="24"/>
              </w:rPr>
              <w:t>$875</w:t>
            </w:r>
          </w:p>
        </w:tc>
        <w:tc>
          <w:tcPr>
            <w:tcW w:w="1350" w:type="dxa"/>
            <w:tcBorders>
              <w:right w:val="single" w:sz="4" w:space="0" w:color="auto"/>
            </w:tcBorders>
          </w:tcPr>
          <w:p w:rsidR="00D44EFA" w:rsidRPr="003A7D62" w:rsidRDefault="00D44EFA" w:rsidP="003A7D62">
            <w:pPr>
              <w:spacing w:after="0" w:line="240" w:lineRule="auto"/>
              <w:ind w:right="252"/>
              <w:jc w:val="right"/>
              <w:rPr>
                <w:rFonts w:eastAsia="Times New Roman" w:cs="Arial"/>
                <w:szCs w:val="24"/>
              </w:rPr>
            </w:pPr>
            <w:r w:rsidRPr="003A7D62">
              <w:rPr>
                <w:rFonts w:eastAsia="Times New Roman" w:cs="Arial"/>
                <w:szCs w:val="24"/>
              </w:rPr>
              <w:t>$1,625</w:t>
            </w:r>
          </w:p>
        </w:tc>
      </w:tr>
      <w:tr w:rsidR="00D44EFA" w:rsidRPr="003A7D62" w:rsidTr="005C3EC9">
        <w:trPr>
          <w:trHeight w:val="284"/>
        </w:trPr>
        <w:tc>
          <w:tcPr>
            <w:tcW w:w="3605" w:type="dxa"/>
            <w:tcBorders>
              <w:top w:val="nil"/>
              <w:left w:val="single" w:sz="4" w:space="0" w:color="auto"/>
              <w:bottom w:val="single" w:sz="4" w:space="0" w:color="auto"/>
            </w:tcBorders>
            <w:shd w:val="clear" w:color="auto" w:fill="auto"/>
            <w:noWrap/>
            <w:vAlign w:val="bottom"/>
            <w:hideMark/>
          </w:tcPr>
          <w:p w:rsidR="00D44EFA" w:rsidRPr="003A7D62" w:rsidRDefault="00D44EFA" w:rsidP="005C3EC9">
            <w:pPr>
              <w:spacing w:after="0" w:line="240" w:lineRule="auto"/>
              <w:rPr>
                <w:rFonts w:eastAsia="Times New Roman" w:cs="Arial"/>
                <w:szCs w:val="24"/>
              </w:rPr>
            </w:pPr>
            <w:r w:rsidRPr="003A7D62">
              <w:rPr>
                <w:rFonts w:eastAsia="Times New Roman" w:cs="Arial"/>
                <w:szCs w:val="24"/>
              </w:rPr>
              <w:t>Hydrogen (Fuel Cell)</w:t>
            </w:r>
          </w:p>
        </w:tc>
        <w:tc>
          <w:tcPr>
            <w:tcW w:w="1350" w:type="dxa"/>
            <w:tcBorders>
              <w:bottom w:val="single" w:sz="4" w:space="0" w:color="auto"/>
            </w:tcBorders>
          </w:tcPr>
          <w:p w:rsidR="00D44EFA" w:rsidRPr="003A7D62" w:rsidRDefault="00D44EFA" w:rsidP="003A7D62">
            <w:pPr>
              <w:spacing w:after="0" w:line="240" w:lineRule="auto"/>
              <w:ind w:right="252"/>
              <w:jc w:val="right"/>
              <w:rPr>
                <w:rFonts w:eastAsia="Times New Roman" w:cs="Arial"/>
                <w:szCs w:val="24"/>
              </w:rPr>
            </w:pPr>
            <w:r w:rsidRPr="003A7D62">
              <w:rPr>
                <w:rFonts w:eastAsia="Times New Roman" w:cs="Arial"/>
                <w:szCs w:val="24"/>
              </w:rPr>
              <w:t>$3,438</w:t>
            </w:r>
          </w:p>
        </w:tc>
        <w:tc>
          <w:tcPr>
            <w:tcW w:w="1350" w:type="dxa"/>
            <w:tcBorders>
              <w:bottom w:val="single" w:sz="4" w:space="0" w:color="auto"/>
              <w:right w:val="single" w:sz="4" w:space="0" w:color="auto"/>
            </w:tcBorders>
          </w:tcPr>
          <w:p w:rsidR="00D44EFA" w:rsidRPr="003A7D62" w:rsidRDefault="00D44EFA" w:rsidP="003A7D62">
            <w:pPr>
              <w:spacing w:after="0" w:line="240" w:lineRule="auto"/>
              <w:ind w:right="252"/>
              <w:jc w:val="right"/>
              <w:rPr>
                <w:rFonts w:eastAsia="Times New Roman" w:cs="Arial"/>
                <w:szCs w:val="24"/>
              </w:rPr>
            </w:pPr>
            <w:r w:rsidRPr="003A7D62">
              <w:rPr>
                <w:rFonts w:eastAsia="Times New Roman" w:cs="Arial"/>
                <w:szCs w:val="24"/>
              </w:rPr>
              <w:t>$5,375</w:t>
            </w:r>
          </w:p>
        </w:tc>
      </w:tr>
    </w:tbl>
    <w:p w:rsidR="00D44EFA" w:rsidRPr="008720F3" w:rsidRDefault="009444F6" w:rsidP="00D44EFA">
      <w:pPr>
        <w:rPr>
          <w:rFonts w:cs="Arial"/>
          <w:i/>
          <w:sz w:val="20"/>
          <w:szCs w:val="24"/>
        </w:rPr>
      </w:pPr>
      <w:r w:rsidRPr="008720F3">
        <w:rPr>
          <w:rFonts w:cs="Arial"/>
          <w:i/>
          <w:sz w:val="20"/>
          <w:szCs w:val="24"/>
        </w:rPr>
        <w:t xml:space="preserve">Source: </w:t>
      </w:r>
      <w:r w:rsidR="00D44EFA" w:rsidRPr="008720F3">
        <w:rPr>
          <w:rFonts w:cs="Arial"/>
          <w:i/>
          <w:sz w:val="20"/>
          <w:szCs w:val="24"/>
        </w:rPr>
        <w:t>Adapted from NPC 2012</w:t>
      </w:r>
    </w:p>
    <w:p w:rsidR="00D44EFA" w:rsidRPr="003A7D62" w:rsidRDefault="00D44EFA" w:rsidP="00D44EFA">
      <w:pPr>
        <w:rPr>
          <w:rFonts w:cs="Arial"/>
        </w:rPr>
      </w:pPr>
      <w:r w:rsidRPr="003A7D62">
        <w:rPr>
          <w:rFonts w:cs="Arial"/>
        </w:rPr>
        <w:t>The per</w:t>
      </w:r>
      <w:r w:rsidR="007C0E55" w:rsidRPr="003A7D62">
        <w:rPr>
          <w:rFonts w:cs="Arial"/>
        </w:rPr>
        <w:t>-</w:t>
      </w:r>
      <w:r w:rsidRPr="003A7D62">
        <w:rPr>
          <w:rFonts w:cs="Arial"/>
        </w:rPr>
        <w:t>vehicle cost estimate for CNG infrastructure is in the middle of the range provided by NPC</w:t>
      </w:r>
      <w:r w:rsidR="00493DD7" w:rsidRPr="003A7D62">
        <w:rPr>
          <w:rFonts w:cs="Arial"/>
        </w:rPr>
        <w:t>,</w:t>
      </w:r>
      <w:r w:rsidRPr="003A7D62">
        <w:rPr>
          <w:rFonts w:cs="Arial"/>
        </w:rPr>
        <w:t xml:space="preserve"> as is the cost estimate for electric vehicle infrastructure. The cost estimate for E85 infrastructure is just below the lower estimate from NPC, but the NPC estimate included distribution infrastructure for E85 as well as dispensing infrastructure. </w:t>
      </w:r>
    </w:p>
    <w:p w:rsidR="00D44EFA" w:rsidRPr="003A7D62" w:rsidRDefault="00D44EFA" w:rsidP="00D44EFA">
      <w:pPr>
        <w:rPr>
          <w:rFonts w:cs="Arial"/>
        </w:rPr>
      </w:pPr>
      <w:r w:rsidRPr="003A7D62">
        <w:rPr>
          <w:rFonts w:cs="Arial"/>
        </w:rPr>
        <w:lastRenderedPageBreak/>
        <w:t>The only fuel with a cost significantly outside the range provided by NPC was for electric vehicle infrastructure, which was estimated as being $543 more than the NPC high estimate of $1,625 per vehicle. This difference is likely due to a difference in assumptions about the cost of home charging infrastructure which is almost entirely responsible for the per</w:t>
      </w:r>
      <w:r w:rsidR="007C0E55" w:rsidRPr="003A7D62">
        <w:rPr>
          <w:rFonts w:cs="Arial"/>
        </w:rPr>
        <w:t>-</w:t>
      </w:r>
      <w:r w:rsidRPr="003A7D62">
        <w:rPr>
          <w:rFonts w:cs="Arial"/>
        </w:rPr>
        <w:t xml:space="preserve">vehicle cost of electric charging infrastructure. </w:t>
      </w:r>
    </w:p>
    <w:p w:rsidR="00D44EFA" w:rsidRPr="003A7D62" w:rsidRDefault="00D44EFA" w:rsidP="00D44EFA">
      <w:pPr>
        <w:rPr>
          <w:rFonts w:cs="Arial"/>
        </w:rPr>
      </w:pPr>
      <w:r w:rsidRPr="003A7D62">
        <w:rPr>
          <w:rFonts w:cs="Arial"/>
        </w:rPr>
        <w:t xml:space="preserve">A literature review conducted for a UC Davis study on the cost of transitioning to an AFV system suggested that investment for a mature hydrogen transportation system would be equal to $1,400 </w:t>
      </w:r>
      <w:r w:rsidR="007C0E55" w:rsidRPr="003A7D62">
        <w:rPr>
          <w:rFonts w:cs="Arial"/>
        </w:rPr>
        <w:t>-</w:t>
      </w:r>
      <w:r w:rsidRPr="003A7D62">
        <w:rPr>
          <w:rFonts w:cs="Arial"/>
        </w:rPr>
        <w:t xml:space="preserve"> $2,000 per vehicle</w:t>
      </w:r>
      <w:r w:rsidR="008451AB" w:rsidRPr="003A7D62">
        <w:rPr>
          <w:rFonts w:cs="Arial"/>
        </w:rPr>
        <w:t>.</w:t>
      </w:r>
      <w:r w:rsidRPr="003A7D62">
        <w:rPr>
          <w:rFonts w:cs="Arial"/>
        </w:rPr>
        <w:t xml:space="preserve"> </w:t>
      </w:r>
      <w:r w:rsidR="008451AB" w:rsidRPr="003A7D62">
        <w:rPr>
          <w:rFonts w:cs="Arial"/>
        </w:rPr>
        <w:t>However,</w:t>
      </w:r>
      <w:r w:rsidRPr="003A7D62">
        <w:rPr>
          <w:rFonts w:cs="Arial"/>
        </w:rPr>
        <w:t xml:space="preserve"> infrastructure to serve the first million vehicles would be equivalent to $5,000 </w:t>
      </w:r>
      <w:r w:rsidR="008451AB" w:rsidRPr="003A7D62">
        <w:rPr>
          <w:rFonts w:cs="Arial"/>
        </w:rPr>
        <w:t>-</w:t>
      </w:r>
      <w:r w:rsidRPr="003A7D62">
        <w:rPr>
          <w:rFonts w:cs="Arial"/>
        </w:rPr>
        <w:t xml:space="preserve"> $10,000 per vehicle.</w:t>
      </w:r>
      <w:r w:rsidRPr="003A7D62">
        <w:rPr>
          <w:rStyle w:val="FootnoteReference"/>
          <w:rFonts w:cs="Arial"/>
        </w:rPr>
        <w:footnoteReference w:id="147"/>
      </w:r>
      <w:r w:rsidRPr="003A7D62">
        <w:rPr>
          <w:rFonts w:cs="Arial"/>
        </w:rPr>
        <w:t xml:space="preserve"> Given that the projections used to determine the </w:t>
      </w:r>
      <w:r w:rsidR="00033200" w:rsidRPr="003A7D62">
        <w:rPr>
          <w:rFonts w:cs="Arial"/>
        </w:rPr>
        <w:t xml:space="preserve">number of </w:t>
      </w:r>
      <w:r w:rsidRPr="003A7D62">
        <w:rPr>
          <w:rFonts w:cs="Arial"/>
        </w:rPr>
        <w:t xml:space="preserve">hydrogen </w:t>
      </w:r>
      <w:r w:rsidR="002740E1" w:rsidRPr="003A7D62">
        <w:rPr>
          <w:rFonts w:cs="Arial"/>
        </w:rPr>
        <w:t>fuel cell</w:t>
      </w:r>
      <w:r w:rsidR="00033200" w:rsidRPr="003A7D62">
        <w:rPr>
          <w:rFonts w:cs="Arial"/>
        </w:rPr>
        <w:t xml:space="preserve"> vehicles in operation</w:t>
      </w:r>
      <w:r w:rsidRPr="003A7D62">
        <w:rPr>
          <w:rFonts w:cs="Arial"/>
        </w:rPr>
        <w:t xml:space="preserve"> for 2030 are significantly below $1 million, the $4,840 infrastructure investment required per vehicle can be considered a low estimate. </w:t>
      </w:r>
    </w:p>
    <w:p w:rsidR="00D44EFA" w:rsidRPr="003A7D62" w:rsidRDefault="00D44EFA" w:rsidP="00D44EFA">
      <w:pPr>
        <w:rPr>
          <w:rFonts w:cs="Arial"/>
        </w:rPr>
      </w:pPr>
      <w:r w:rsidRPr="003A7D62">
        <w:rPr>
          <w:rFonts w:cs="Arial"/>
        </w:rPr>
        <w:t xml:space="preserve">The same review suggested that $375 to $700 per vehicle would be required for </w:t>
      </w:r>
      <w:r w:rsidR="008451AB" w:rsidRPr="003A7D62">
        <w:rPr>
          <w:rFonts w:cs="Arial"/>
        </w:rPr>
        <w:t xml:space="preserve">the </w:t>
      </w:r>
      <w:r w:rsidRPr="003A7D62">
        <w:rPr>
          <w:rFonts w:cs="Arial"/>
        </w:rPr>
        <w:t>delivery (distribution and dispensing) infrastructure for E85.</w:t>
      </w:r>
      <w:r w:rsidRPr="003A7D62">
        <w:rPr>
          <w:rStyle w:val="FootnoteReference"/>
          <w:rFonts w:cs="Arial"/>
        </w:rPr>
        <w:footnoteReference w:id="148"/>
      </w:r>
      <w:r w:rsidRPr="003A7D62">
        <w:t xml:space="preserve"> </w:t>
      </w:r>
      <w:r w:rsidRPr="003A7D62">
        <w:rPr>
          <w:rFonts w:cs="Arial"/>
        </w:rPr>
        <w:t>Compared to the UC Davis E85 infrastructure estimate</w:t>
      </w:r>
      <w:r w:rsidR="008451AB" w:rsidRPr="003A7D62">
        <w:t xml:space="preserve">, </w:t>
      </w:r>
      <w:r w:rsidR="008451AB" w:rsidRPr="003A7D62">
        <w:rPr>
          <w:rFonts w:cs="Arial"/>
        </w:rPr>
        <w:t>the</w:t>
      </w:r>
      <w:r w:rsidR="00493DD7" w:rsidRPr="003A7D62">
        <w:t xml:space="preserve"> </w:t>
      </w:r>
      <w:r w:rsidRPr="003A7D62">
        <w:rPr>
          <w:rFonts w:cs="Arial"/>
        </w:rPr>
        <w:t>$240 per vehicle estimate is low (</w:t>
      </w:r>
      <w:r w:rsidR="008451AB" w:rsidRPr="003A7D62">
        <w:rPr>
          <w:rFonts w:cs="Arial"/>
        </w:rPr>
        <w:t>al</w:t>
      </w:r>
      <w:r w:rsidRPr="003A7D62">
        <w:rPr>
          <w:rFonts w:cs="Arial"/>
        </w:rPr>
        <w:t>though the $240 estimate include</w:t>
      </w:r>
      <w:r w:rsidR="008451AB" w:rsidRPr="003A7D62">
        <w:rPr>
          <w:rFonts w:cs="Arial"/>
        </w:rPr>
        <w:t>s</w:t>
      </w:r>
      <w:r w:rsidRPr="003A7D62">
        <w:rPr>
          <w:rFonts w:cs="Arial"/>
        </w:rPr>
        <w:t xml:space="preserve"> </w:t>
      </w:r>
      <w:r w:rsidR="008451AB" w:rsidRPr="003A7D62">
        <w:rPr>
          <w:rFonts w:cs="Arial"/>
        </w:rPr>
        <w:t>dispensing</w:t>
      </w:r>
      <w:r w:rsidR="00493DD7" w:rsidRPr="003A7D62">
        <w:rPr>
          <w:rFonts w:cs="Arial"/>
        </w:rPr>
        <w:t xml:space="preserve"> but not distribution </w:t>
      </w:r>
      <w:r w:rsidRPr="003A7D62">
        <w:rPr>
          <w:rFonts w:cs="Arial"/>
        </w:rPr>
        <w:t>infrastructure</w:t>
      </w:r>
      <w:r w:rsidR="00493DD7" w:rsidRPr="003A7D62">
        <w:rPr>
          <w:rFonts w:cs="Arial"/>
        </w:rPr>
        <w:t>).</w:t>
      </w:r>
      <w:r w:rsidR="003A19B6" w:rsidRPr="003A7D62">
        <w:rPr>
          <w:rFonts w:cs="Arial"/>
        </w:rPr>
        <w:t xml:space="preserve"> </w:t>
      </w:r>
    </w:p>
    <w:p w:rsidR="00D44EFA" w:rsidRPr="003A7D62" w:rsidRDefault="00D44EFA" w:rsidP="00D44EFA">
      <w:pPr>
        <w:rPr>
          <w:rFonts w:cs="Arial"/>
        </w:rPr>
      </w:pPr>
      <w:r w:rsidRPr="003A7D62">
        <w:rPr>
          <w:rFonts w:cs="Arial"/>
        </w:rPr>
        <w:t xml:space="preserve">The UC Davis cost range for installing home chargers for PEVs is $800 </w:t>
      </w:r>
      <w:r w:rsidR="00493DD7" w:rsidRPr="003A7D62">
        <w:rPr>
          <w:rFonts w:cs="Arial"/>
        </w:rPr>
        <w:t>-</w:t>
      </w:r>
      <w:r w:rsidRPr="003A7D62">
        <w:rPr>
          <w:rFonts w:cs="Arial"/>
        </w:rPr>
        <w:t xml:space="preserve"> $2,100, in line with the $2,000 assumption for home chargers.</w:t>
      </w:r>
      <w:r w:rsidRPr="003A7D62">
        <w:rPr>
          <w:rStyle w:val="FootnoteReference"/>
          <w:rFonts w:cs="Arial"/>
        </w:rPr>
        <w:footnoteReference w:id="149"/>
      </w:r>
      <w:r w:rsidRPr="003A7D62">
        <w:rPr>
          <w:rFonts w:cs="Arial"/>
        </w:rPr>
        <w:t xml:space="preserve"> It is worth noting, however, that if the lower cost estimate of $800 for home Level 2 chargers </w:t>
      </w:r>
      <w:r w:rsidR="008451AB" w:rsidRPr="003A7D62">
        <w:rPr>
          <w:rFonts w:cs="Arial"/>
        </w:rPr>
        <w:t>i</w:t>
      </w:r>
      <w:r w:rsidRPr="003A7D62">
        <w:rPr>
          <w:rFonts w:cs="Arial"/>
        </w:rPr>
        <w:t xml:space="preserve">s used instead of $2,000, the assumed cost per vehicle (including home chargers and public infrastructure) would decrease by more than half, leading to </w:t>
      </w:r>
      <w:r w:rsidR="007278E0" w:rsidRPr="003A7D62">
        <w:rPr>
          <w:rFonts w:cs="Arial"/>
        </w:rPr>
        <w:t>much</w:t>
      </w:r>
      <w:r w:rsidRPr="003A7D62">
        <w:rPr>
          <w:rFonts w:cs="Arial"/>
        </w:rPr>
        <w:t xml:space="preserve"> </w:t>
      </w:r>
      <w:r w:rsidR="00E85C44" w:rsidRPr="003A7D62">
        <w:rPr>
          <w:rFonts w:cs="Arial"/>
        </w:rPr>
        <w:t>lower PEV infrastructure costs.</w:t>
      </w:r>
    </w:p>
    <w:p w:rsidR="00AF78DC" w:rsidRPr="003A7D62" w:rsidRDefault="00AF78DC" w:rsidP="00984B07">
      <w:pPr>
        <w:pStyle w:val="Caption"/>
        <w:keepNext/>
        <w:spacing w:after="60" w:line="276" w:lineRule="auto"/>
        <w:rPr>
          <w:rFonts w:cs="Arial"/>
          <w:color w:val="auto"/>
          <w:sz w:val="20"/>
          <w:szCs w:val="24"/>
        </w:rPr>
      </w:pPr>
      <w:bookmarkStart w:id="52" w:name="_Toc352249446"/>
      <w:r w:rsidRPr="003A7D62">
        <w:rPr>
          <w:rFonts w:cs="Arial"/>
          <w:color w:val="auto"/>
          <w:sz w:val="20"/>
          <w:szCs w:val="24"/>
        </w:rPr>
        <w:t xml:space="preserve">Table </w:t>
      </w:r>
      <w:r w:rsidRPr="003A7D62">
        <w:rPr>
          <w:rFonts w:cs="Arial"/>
          <w:color w:val="auto"/>
          <w:sz w:val="20"/>
          <w:szCs w:val="24"/>
        </w:rPr>
        <w:fldChar w:fldCharType="begin"/>
      </w:r>
      <w:r w:rsidRPr="003A7D62">
        <w:rPr>
          <w:rFonts w:cs="Arial"/>
          <w:color w:val="auto"/>
          <w:sz w:val="20"/>
          <w:szCs w:val="24"/>
        </w:rPr>
        <w:instrText xml:space="preserve"> SEQ Table \* ARABIC </w:instrText>
      </w:r>
      <w:r w:rsidRPr="003A7D62">
        <w:rPr>
          <w:rFonts w:cs="Arial"/>
          <w:color w:val="auto"/>
          <w:sz w:val="20"/>
          <w:szCs w:val="24"/>
        </w:rPr>
        <w:fldChar w:fldCharType="separate"/>
      </w:r>
      <w:r w:rsidR="00E01A3B">
        <w:rPr>
          <w:rFonts w:cs="Arial"/>
          <w:noProof/>
          <w:color w:val="auto"/>
          <w:sz w:val="20"/>
          <w:szCs w:val="24"/>
        </w:rPr>
        <w:t>6</w:t>
      </w:r>
      <w:r w:rsidRPr="003A7D62">
        <w:rPr>
          <w:rFonts w:cs="Arial"/>
          <w:color w:val="auto"/>
          <w:sz w:val="20"/>
          <w:szCs w:val="24"/>
        </w:rPr>
        <w:fldChar w:fldCharType="end"/>
      </w:r>
      <w:r w:rsidRPr="003A7D62">
        <w:rPr>
          <w:rFonts w:cs="Arial"/>
          <w:color w:val="auto"/>
          <w:sz w:val="20"/>
          <w:szCs w:val="24"/>
        </w:rPr>
        <w:t>: NAS Estimate of Infrastructure Cost per Vehicle by Fuel Type</w:t>
      </w:r>
      <w:bookmarkEnd w:id="52"/>
    </w:p>
    <w:tbl>
      <w:tblPr>
        <w:tblW w:w="5405" w:type="dxa"/>
        <w:tblInd w:w="103" w:type="dxa"/>
        <w:tblLayout w:type="fixed"/>
        <w:tblLook w:val="04A0" w:firstRow="1" w:lastRow="0" w:firstColumn="1" w:lastColumn="0" w:noHBand="0" w:noVBand="1"/>
      </w:tblPr>
      <w:tblGrid>
        <w:gridCol w:w="3605"/>
        <w:gridCol w:w="1800"/>
      </w:tblGrid>
      <w:tr w:rsidR="00AF78DC" w:rsidRPr="003A7D62" w:rsidTr="00BA547B">
        <w:trPr>
          <w:trHeight w:val="284"/>
        </w:trPr>
        <w:tc>
          <w:tcPr>
            <w:tcW w:w="3605" w:type="dxa"/>
            <w:tcBorders>
              <w:top w:val="single" w:sz="4" w:space="0" w:color="auto"/>
              <w:left w:val="single" w:sz="4" w:space="0" w:color="auto"/>
              <w:bottom w:val="single" w:sz="4" w:space="0" w:color="auto"/>
              <w:right w:val="nil"/>
            </w:tcBorders>
            <w:shd w:val="clear" w:color="auto" w:fill="auto"/>
            <w:noWrap/>
            <w:vAlign w:val="center"/>
            <w:hideMark/>
          </w:tcPr>
          <w:p w:rsidR="00AF78DC" w:rsidRPr="003A7D62" w:rsidRDefault="00AF78DC" w:rsidP="00BA547B">
            <w:pPr>
              <w:spacing w:after="0" w:line="240" w:lineRule="auto"/>
              <w:rPr>
                <w:rFonts w:eastAsia="Times New Roman" w:cs="Arial"/>
                <w:b/>
                <w:bCs/>
                <w:szCs w:val="24"/>
              </w:rPr>
            </w:pPr>
            <w:r w:rsidRPr="003A7D62">
              <w:rPr>
                <w:rFonts w:eastAsia="Times New Roman" w:cs="Arial"/>
                <w:b/>
                <w:bCs/>
                <w:szCs w:val="24"/>
              </w:rPr>
              <w:t>Fuel Type</w:t>
            </w:r>
          </w:p>
        </w:tc>
        <w:tc>
          <w:tcPr>
            <w:tcW w:w="1800" w:type="dxa"/>
            <w:tcBorders>
              <w:top w:val="single" w:sz="4" w:space="0" w:color="auto"/>
              <w:left w:val="nil"/>
              <w:bottom w:val="single" w:sz="4" w:space="0" w:color="auto"/>
              <w:right w:val="single" w:sz="4" w:space="0" w:color="auto"/>
            </w:tcBorders>
            <w:vAlign w:val="center"/>
          </w:tcPr>
          <w:p w:rsidR="00AF78DC" w:rsidRPr="003A7D62" w:rsidRDefault="00AF78DC" w:rsidP="00BA547B">
            <w:pPr>
              <w:spacing w:after="0" w:line="240" w:lineRule="auto"/>
              <w:jc w:val="right"/>
              <w:rPr>
                <w:rFonts w:eastAsia="Times New Roman" w:cs="Arial"/>
                <w:b/>
                <w:bCs/>
                <w:szCs w:val="24"/>
              </w:rPr>
            </w:pPr>
            <w:r w:rsidRPr="003A7D62">
              <w:rPr>
                <w:rFonts w:eastAsia="Times New Roman" w:cs="Arial"/>
                <w:b/>
                <w:bCs/>
                <w:szCs w:val="24"/>
              </w:rPr>
              <w:t>NAS Estimate</w:t>
            </w:r>
          </w:p>
        </w:tc>
      </w:tr>
      <w:tr w:rsidR="00AF78DC" w:rsidRPr="003A7D62" w:rsidTr="00BA547B">
        <w:trPr>
          <w:trHeight w:val="284"/>
        </w:trPr>
        <w:tc>
          <w:tcPr>
            <w:tcW w:w="3605" w:type="dxa"/>
            <w:tcBorders>
              <w:top w:val="single" w:sz="4" w:space="0" w:color="auto"/>
              <w:left w:val="single" w:sz="4" w:space="0" w:color="auto"/>
              <w:bottom w:val="nil"/>
            </w:tcBorders>
            <w:shd w:val="clear" w:color="auto" w:fill="auto"/>
            <w:noWrap/>
            <w:vAlign w:val="bottom"/>
            <w:hideMark/>
          </w:tcPr>
          <w:p w:rsidR="00AF78DC" w:rsidRPr="003A7D62" w:rsidRDefault="00AF78DC" w:rsidP="00BA547B">
            <w:pPr>
              <w:spacing w:after="0" w:line="240" w:lineRule="auto"/>
              <w:rPr>
                <w:rFonts w:eastAsia="Times New Roman" w:cs="Arial"/>
                <w:szCs w:val="24"/>
              </w:rPr>
            </w:pPr>
            <w:r w:rsidRPr="003A7D62">
              <w:rPr>
                <w:rFonts w:eastAsia="Times New Roman" w:cs="Arial"/>
                <w:szCs w:val="24"/>
              </w:rPr>
              <w:t>Natural Gas (CNG)</w:t>
            </w:r>
          </w:p>
        </w:tc>
        <w:tc>
          <w:tcPr>
            <w:tcW w:w="1800" w:type="dxa"/>
            <w:tcBorders>
              <w:top w:val="single" w:sz="4" w:space="0" w:color="auto"/>
              <w:right w:val="single" w:sz="4" w:space="0" w:color="auto"/>
            </w:tcBorders>
          </w:tcPr>
          <w:p w:rsidR="00AF78DC" w:rsidRPr="003A7D62" w:rsidRDefault="00AF78DC" w:rsidP="003A7D62">
            <w:pPr>
              <w:spacing w:after="0" w:line="240" w:lineRule="auto"/>
              <w:ind w:right="342"/>
              <w:jc w:val="right"/>
              <w:rPr>
                <w:rFonts w:eastAsia="Times New Roman" w:cs="Arial"/>
                <w:szCs w:val="24"/>
              </w:rPr>
            </w:pPr>
            <w:r w:rsidRPr="003A7D62">
              <w:rPr>
                <w:rFonts w:eastAsia="Times New Roman" w:cs="Arial"/>
                <w:szCs w:val="24"/>
              </w:rPr>
              <w:t>$810</w:t>
            </w:r>
          </w:p>
        </w:tc>
      </w:tr>
      <w:tr w:rsidR="00AF78DC" w:rsidRPr="003A7D62" w:rsidTr="00BA547B">
        <w:trPr>
          <w:trHeight w:val="284"/>
        </w:trPr>
        <w:tc>
          <w:tcPr>
            <w:tcW w:w="3605" w:type="dxa"/>
            <w:tcBorders>
              <w:top w:val="nil"/>
              <w:left w:val="single" w:sz="4" w:space="0" w:color="auto"/>
              <w:bottom w:val="nil"/>
            </w:tcBorders>
            <w:shd w:val="clear" w:color="auto" w:fill="auto"/>
            <w:noWrap/>
            <w:vAlign w:val="bottom"/>
            <w:hideMark/>
          </w:tcPr>
          <w:p w:rsidR="00AF78DC" w:rsidRPr="003A7D62" w:rsidRDefault="00AF78DC" w:rsidP="00BA547B">
            <w:pPr>
              <w:spacing w:after="0" w:line="240" w:lineRule="auto"/>
              <w:rPr>
                <w:rFonts w:eastAsia="Times New Roman" w:cs="Arial"/>
                <w:szCs w:val="24"/>
              </w:rPr>
            </w:pPr>
            <w:r w:rsidRPr="003A7D62">
              <w:rPr>
                <w:rFonts w:eastAsia="Times New Roman" w:cs="Arial"/>
                <w:szCs w:val="24"/>
              </w:rPr>
              <w:t>Flex-Fuel (E85)</w:t>
            </w:r>
          </w:p>
        </w:tc>
        <w:tc>
          <w:tcPr>
            <w:tcW w:w="1800" w:type="dxa"/>
            <w:tcBorders>
              <w:right w:val="single" w:sz="4" w:space="0" w:color="auto"/>
            </w:tcBorders>
          </w:tcPr>
          <w:p w:rsidR="00AF78DC" w:rsidRPr="003A7D62" w:rsidRDefault="00AF78DC" w:rsidP="003A7D62">
            <w:pPr>
              <w:spacing w:after="0" w:line="240" w:lineRule="auto"/>
              <w:ind w:right="342"/>
              <w:jc w:val="right"/>
              <w:rPr>
                <w:rFonts w:eastAsia="Times New Roman" w:cs="Arial"/>
                <w:szCs w:val="24"/>
              </w:rPr>
            </w:pPr>
            <w:r w:rsidRPr="003A7D62">
              <w:rPr>
                <w:rFonts w:eastAsia="Times New Roman" w:cs="Arial"/>
                <w:szCs w:val="24"/>
              </w:rPr>
              <w:t>$2,760</w:t>
            </w:r>
          </w:p>
        </w:tc>
      </w:tr>
      <w:tr w:rsidR="00AF78DC" w:rsidRPr="003A7D62" w:rsidTr="00BA547B">
        <w:trPr>
          <w:trHeight w:val="284"/>
        </w:trPr>
        <w:tc>
          <w:tcPr>
            <w:tcW w:w="3605" w:type="dxa"/>
            <w:tcBorders>
              <w:top w:val="nil"/>
              <w:left w:val="single" w:sz="4" w:space="0" w:color="auto"/>
              <w:bottom w:val="nil"/>
            </w:tcBorders>
            <w:shd w:val="clear" w:color="auto" w:fill="auto"/>
            <w:noWrap/>
            <w:vAlign w:val="bottom"/>
            <w:hideMark/>
          </w:tcPr>
          <w:p w:rsidR="00AF78DC" w:rsidRPr="003A7D62" w:rsidRDefault="00AF78DC" w:rsidP="00BA547B">
            <w:pPr>
              <w:spacing w:after="0" w:line="240" w:lineRule="auto"/>
              <w:rPr>
                <w:rFonts w:eastAsia="Times New Roman" w:cs="Arial"/>
                <w:szCs w:val="24"/>
              </w:rPr>
            </w:pPr>
            <w:r w:rsidRPr="003A7D62">
              <w:rPr>
                <w:rFonts w:eastAsia="Times New Roman" w:cs="Arial"/>
                <w:szCs w:val="24"/>
              </w:rPr>
              <w:t>Plug-in Electric (BEV &amp; PHEV)</w:t>
            </w:r>
          </w:p>
        </w:tc>
        <w:tc>
          <w:tcPr>
            <w:tcW w:w="1800" w:type="dxa"/>
            <w:tcBorders>
              <w:right w:val="single" w:sz="4" w:space="0" w:color="auto"/>
            </w:tcBorders>
          </w:tcPr>
          <w:p w:rsidR="00AF78DC" w:rsidRPr="003A7D62" w:rsidRDefault="00AF78DC" w:rsidP="003A7D62">
            <w:pPr>
              <w:spacing w:after="0" w:line="240" w:lineRule="auto"/>
              <w:ind w:right="342"/>
              <w:jc w:val="right"/>
              <w:rPr>
                <w:rFonts w:eastAsia="Times New Roman" w:cs="Arial"/>
                <w:szCs w:val="24"/>
              </w:rPr>
            </w:pPr>
            <w:r w:rsidRPr="003A7D62">
              <w:rPr>
                <w:rFonts w:eastAsia="Times New Roman" w:cs="Arial"/>
                <w:szCs w:val="24"/>
              </w:rPr>
              <w:t>$650-2,930</w:t>
            </w:r>
          </w:p>
        </w:tc>
      </w:tr>
      <w:tr w:rsidR="00AF78DC" w:rsidRPr="003A7D62" w:rsidTr="00BA547B">
        <w:trPr>
          <w:trHeight w:val="284"/>
        </w:trPr>
        <w:tc>
          <w:tcPr>
            <w:tcW w:w="3605" w:type="dxa"/>
            <w:tcBorders>
              <w:top w:val="nil"/>
              <w:left w:val="single" w:sz="4" w:space="0" w:color="auto"/>
              <w:bottom w:val="single" w:sz="4" w:space="0" w:color="auto"/>
            </w:tcBorders>
            <w:shd w:val="clear" w:color="auto" w:fill="auto"/>
            <w:noWrap/>
            <w:vAlign w:val="bottom"/>
            <w:hideMark/>
          </w:tcPr>
          <w:p w:rsidR="00AF78DC" w:rsidRPr="003A7D62" w:rsidRDefault="00AF78DC" w:rsidP="00BA547B">
            <w:pPr>
              <w:spacing w:after="0" w:line="240" w:lineRule="auto"/>
              <w:rPr>
                <w:rFonts w:eastAsia="Times New Roman" w:cs="Arial"/>
                <w:szCs w:val="24"/>
              </w:rPr>
            </w:pPr>
            <w:r w:rsidRPr="003A7D62">
              <w:rPr>
                <w:rFonts w:eastAsia="Times New Roman" w:cs="Arial"/>
                <w:szCs w:val="24"/>
              </w:rPr>
              <w:t>Hydrogen (Fuel Cell)</w:t>
            </w:r>
          </w:p>
        </w:tc>
        <w:tc>
          <w:tcPr>
            <w:tcW w:w="1800" w:type="dxa"/>
            <w:tcBorders>
              <w:bottom w:val="single" w:sz="4" w:space="0" w:color="auto"/>
              <w:right w:val="single" w:sz="4" w:space="0" w:color="auto"/>
            </w:tcBorders>
          </w:tcPr>
          <w:p w:rsidR="00AF78DC" w:rsidRPr="003A7D62" w:rsidRDefault="00AF78DC" w:rsidP="003A7D62">
            <w:pPr>
              <w:spacing w:after="0" w:line="240" w:lineRule="auto"/>
              <w:ind w:right="342"/>
              <w:jc w:val="right"/>
              <w:rPr>
                <w:rFonts w:eastAsia="Times New Roman" w:cs="Arial"/>
                <w:szCs w:val="24"/>
              </w:rPr>
            </w:pPr>
            <w:r w:rsidRPr="003A7D62">
              <w:rPr>
                <w:rFonts w:eastAsia="Times New Roman" w:cs="Arial"/>
                <w:szCs w:val="24"/>
              </w:rPr>
              <w:t>$1,750</w:t>
            </w:r>
          </w:p>
        </w:tc>
      </w:tr>
    </w:tbl>
    <w:p w:rsidR="00AF78DC" w:rsidRPr="008720F3" w:rsidRDefault="00AF78DC" w:rsidP="00AF78DC">
      <w:pPr>
        <w:rPr>
          <w:rFonts w:cs="Arial"/>
          <w:i/>
          <w:sz w:val="20"/>
          <w:szCs w:val="24"/>
        </w:rPr>
      </w:pPr>
      <w:r w:rsidRPr="008720F3">
        <w:rPr>
          <w:rFonts w:cs="Arial"/>
          <w:i/>
          <w:sz w:val="20"/>
          <w:szCs w:val="24"/>
        </w:rPr>
        <w:t>Source: Adapted from NAS 2013</w:t>
      </w:r>
    </w:p>
    <w:p w:rsidR="00D839B9" w:rsidRPr="003A7D62" w:rsidRDefault="00E85C44" w:rsidP="00D839B9">
      <w:pPr>
        <w:rPr>
          <w:rFonts w:cs="Arial"/>
          <w:szCs w:val="24"/>
        </w:rPr>
      </w:pPr>
      <w:r w:rsidRPr="003A7D62">
        <w:rPr>
          <w:rFonts w:cs="Arial"/>
          <w:szCs w:val="24"/>
        </w:rPr>
        <w:t xml:space="preserve">A </w:t>
      </w:r>
      <w:r w:rsidR="00D839B9" w:rsidRPr="003A7D62">
        <w:rPr>
          <w:rFonts w:cs="Arial"/>
          <w:szCs w:val="24"/>
        </w:rPr>
        <w:t xml:space="preserve">recent </w:t>
      </w:r>
      <w:r w:rsidRPr="003A7D62">
        <w:rPr>
          <w:rFonts w:cs="Arial"/>
          <w:szCs w:val="24"/>
        </w:rPr>
        <w:t>study by the National Academy of Sciences found that infrastructure costs for alternative fuels</w:t>
      </w:r>
      <w:r w:rsidR="00D839B9" w:rsidRPr="003A7D62">
        <w:rPr>
          <w:rFonts w:cs="Arial"/>
          <w:szCs w:val="24"/>
        </w:rPr>
        <w:t xml:space="preserve"> were between $1,000 and $3,000 per vehicle.</w:t>
      </w:r>
      <w:r w:rsidRPr="003A7D62">
        <w:rPr>
          <w:rStyle w:val="FootnoteReference"/>
          <w:rFonts w:cs="Arial"/>
          <w:szCs w:val="24"/>
        </w:rPr>
        <w:footnoteReference w:id="150"/>
      </w:r>
      <w:r w:rsidR="00D839B9" w:rsidRPr="003A7D62">
        <w:rPr>
          <w:rFonts w:cs="Arial"/>
          <w:szCs w:val="24"/>
        </w:rPr>
        <w:t xml:space="preserve"> </w:t>
      </w:r>
      <w:r w:rsidR="00854E1C" w:rsidRPr="003A7D62">
        <w:rPr>
          <w:rFonts w:cs="Arial"/>
          <w:szCs w:val="24"/>
        </w:rPr>
        <w:t xml:space="preserve">Cost estimates for initial investment in infrastructure are displayed in </w:t>
      </w:r>
      <w:r w:rsidR="00E87435" w:rsidRPr="003A7D62">
        <w:rPr>
          <w:rFonts w:cs="Arial"/>
          <w:szCs w:val="24"/>
        </w:rPr>
        <w:t>Table 6</w:t>
      </w:r>
      <w:r w:rsidR="00854E1C" w:rsidRPr="003A7D62">
        <w:rPr>
          <w:rFonts w:cs="Arial"/>
          <w:szCs w:val="24"/>
        </w:rPr>
        <w:t xml:space="preserve">. These costs include </w:t>
      </w:r>
      <w:r w:rsidR="00F42C60" w:rsidRPr="003A7D62">
        <w:rPr>
          <w:rFonts w:cs="Arial"/>
          <w:szCs w:val="24"/>
        </w:rPr>
        <w:t xml:space="preserve">some centralized costs paid by industry such as </w:t>
      </w:r>
      <w:r w:rsidR="00854E1C" w:rsidRPr="003A7D62">
        <w:rPr>
          <w:rFonts w:cs="Arial"/>
          <w:szCs w:val="24"/>
        </w:rPr>
        <w:t xml:space="preserve">production and </w:t>
      </w:r>
      <w:r w:rsidR="00F42C60" w:rsidRPr="003A7D62">
        <w:rPr>
          <w:rFonts w:cs="Arial"/>
          <w:szCs w:val="24"/>
        </w:rPr>
        <w:t>distribution</w:t>
      </w:r>
      <w:r w:rsidR="00854E1C" w:rsidRPr="003A7D62">
        <w:rPr>
          <w:rFonts w:cs="Arial"/>
          <w:szCs w:val="24"/>
        </w:rPr>
        <w:t xml:space="preserve"> infrastructure</w:t>
      </w:r>
      <w:r w:rsidR="00F42C60" w:rsidRPr="003A7D62">
        <w:rPr>
          <w:rFonts w:cs="Arial"/>
          <w:szCs w:val="24"/>
        </w:rPr>
        <w:t xml:space="preserve"> as well as distributed costs paid by </w:t>
      </w:r>
      <w:r w:rsidR="00AF78DC" w:rsidRPr="003A7D62">
        <w:rPr>
          <w:rFonts w:cs="Arial"/>
          <w:szCs w:val="24"/>
        </w:rPr>
        <w:t xml:space="preserve">retailers, </w:t>
      </w:r>
      <w:r w:rsidR="00F42C60" w:rsidRPr="003A7D62">
        <w:rPr>
          <w:rFonts w:cs="Arial"/>
          <w:szCs w:val="24"/>
        </w:rPr>
        <w:t>vehicle owners</w:t>
      </w:r>
      <w:r w:rsidR="00AF78DC" w:rsidRPr="003A7D62">
        <w:rPr>
          <w:rFonts w:cs="Arial"/>
          <w:szCs w:val="24"/>
        </w:rPr>
        <w:t>,</w:t>
      </w:r>
      <w:r w:rsidR="00F42C60" w:rsidRPr="003A7D62">
        <w:rPr>
          <w:rFonts w:cs="Arial"/>
          <w:szCs w:val="24"/>
        </w:rPr>
        <w:t xml:space="preserve"> and </w:t>
      </w:r>
      <w:r w:rsidR="00AF78DC" w:rsidRPr="003A7D62">
        <w:rPr>
          <w:rFonts w:cs="Arial"/>
          <w:szCs w:val="24"/>
        </w:rPr>
        <w:t xml:space="preserve">ratepayers, such as </w:t>
      </w:r>
      <w:r w:rsidR="00F42C60" w:rsidRPr="003A7D62">
        <w:rPr>
          <w:rFonts w:cs="Arial"/>
          <w:szCs w:val="24"/>
        </w:rPr>
        <w:t>dispensing infrastructure</w:t>
      </w:r>
      <w:r w:rsidR="00854E1C" w:rsidRPr="003A7D62">
        <w:rPr>
          <w:rFonts w:cs="Arial"/>
          <w:szCs w:val="24"/>
        </w:rPr>
        <w:t>.</w:t>
      </w:r>
    </w:p>
    <w:p w:rsidR="00473E40" w:rsidRPr="008720F3" w:rsidRDefault="00473E40" w:rsidP="003A7D62">
      <w:pPr>
        <w:pStyle w:val="Heading2"/>
      </w:pPr>
      <w:bookmarkStart w:id="53" w:name="_Toc352854204"/>
      <w:r w:rsidRPr="008720F3">
        <w:lastRenderedPageBreak/>
        <w:t>Infrastructure Estimates by Country</w:t>
      </w:r>
      <w:bookmarkEnd w:id="53"/>
    </w:p>
    <w:p w:rsidR="003A7D62" w:rsidRDefault="00473E40">
      <w:pPr>
        <w:rPr>
          <w:rFonts w:cs="Arial"/>
          <w:szCs w:val="24"/>
        </w:rPr>
      </w:pPr>
      <w:r w:rsidRPr="003A7D62">
        <w:rPr>
          <w:rFonts w:cs="Arial"/>
          <w:szCs w:val="24"/>
        </w:rPr>
        <w:t xml:space="preserve">In order to use the per vehicle infrastructure cost estimates to calculate infrastructure expenditure for selected countries in 2030, estimates of vehicle sales for coming years and </w:t>
      </w:r>
      <w:r w:rsidR="008451AB" w:rsidRPr="003A7D62">
        <w:rPr>
          <w:rFonts w:cs="Arial"/>
          <w:szCs w:val="24"/>
        </w:rPr>
        <w:t xml:space="preserve">the </w:t>
      </w:r>
      <w:r w:rsidR="00033200" w:rsidRPr="003A7D62">
        <w:rPr>
          <w:rFonts w:cs="Arial"/>
          <w:szCs w:val="24"/>
        </w:rPr>
        <w:t>number of AFVs in operation</w:t>
      </w:r>
      <w:r w:rsidRPr="003A7D62">
        <w:rPr>
          <w:rFonts w:cs="Arial"/>
          <w:szCs w:val="24"/>
        </w:rPr>
        <w:t xml:space="preserve"> for 2030 had to be generated. Alternative fuel vehicle sales for Europe, the United States, and China through 2030 were extrapolated using trends from sales data and forecasts from a variety of sources.</w:t>
      </w:r>
      <w:r w:rsidRPr="003A7D62">
        <w:rPr>
          <w:rStyle w:val="FootnoteReference"/>
          <w:rFonts w:cs="Arial"/>
          <w:szCs w:val="24"/>
        </w:rPr>
        <w:footnoteReference w:id="151"/>
      </w:r>
      <w:r w:rsidRPr="003A7D62">
        <w:rPr>
          <w:rFonts w:cs="Arial"/>
          <w:szCs w:val="24"/>
        </w:rPr>
        <w:t xml:space="preserve"> </w:t>
      </w:r>
    </w:p>
    <w:p w:rsidR="00192583" w:rsidRPr="003A7D62" w:rsidRDefault="00192583" w:rsidP="00984B07">
      <w:pPr>
        <w:pStyle w:val="Caption"/>
        <w:keepNext/>
        <w:spacing w:after="60" w:line="276" w:lineRule="auto"/>
        <w:rPr>
          <w:rFonts w:cs="Arial"/>
          <w:color w:val="auto"/>
          <w:sz w:val="20"/>
          <w:szCs w:val="24"/>
        </w:rPr>
      </w:pPr>
      <w:bookmarkStart w:id="54" w:name="_Toc352249447"/>
      <w:r w:rsidRPr="003A7D62">
        <w:rPr>
          <w:rFonts w:cs="Arial"/>
          <w:color w:val="auto"/>
          <w:sz w:val="20"/>
          <w:szCs w:val="24"/>
        </w:rPr>
        <w:t xml:space="preserve">Table </w:t>
      </w:r>
      <w:r w:rsidRPr="003A7D62">
        <w:rPr>
          <w:rFonts w:cs="Arial"/>
          <w:color w:val="auto"/>
          <w:sz w:val="20"/>
          <w:szCs w:val="24"/>
        </w:rPr>
        <w:fldChar w:fldCharType="begin"/>
      </w:r>
      <w:r w:rsidRPr="003A7D62">
        <w:rPr>
          <w:rFonts w:cs="Arial"/>
          <w:color w:val="auto"/>
          <w:sz w:val="20"/>
          <w:szCs w:val="24"/>
        </w:rPr>
        <w:instrText xml:space="preserve"> SEQ Table \* ARABIC </w:instrText>
      </w:r>
      <w:r w:rsidRPr="003A7D62">
        <w:rPr>
          <w:rFonts w:cs="Arial"/>
          <w:color w:val="auto"/>
          <w:sz w:val="20"/>
          <w:szCs w:val="24"/>
        </w:rPr>
        <w:fldChar w:fldCharType="separate"/>
      </w:r>
      <w:r w:rsidR="00E01A3B">
        <w:rPr>
          <w:rFonts w:cs="Arial"/>
          <w:noProof/>
          <w:color w:val="auto"/>
          <w:sz w:val="20"/>
          <w:szCs w:val="24"/>
        </w:rPr>
        <w:t>7</w:t>
      </w:r>
      <w:r w:rsidRPr="003A7D62">
        <w:rPr>
          <w:rFonts w:cs="Arial"/>
          <w:color w:val="auto"/>
          <w:sz w:val="20"/>
          <w:szCs w:val="24"/>
        </w:rPr>
        <w:fldChar w:fldCharType="end"/>
      </w:r>
      <w:r w:rsidRPr="003A7D62">
        <w:rPr>
          <w:rFonts w:cs="Arial"/>
          <w:color w:val="auto"/>
          <w:sz w:val="20"/>
          <w:szCs w:val="24"/>
        </w:rPr>
        <w:t>: AFV Sales in 2030 by Fuel Type by Country</w:t>
      </w:r>
      <w:bookmarkEnd w:id="54"/>
    </w:p>
    <w:tbl>
      <w:tblPr>
        <w:tblW w:w="7205" w:type="dxa"/>
        <w:tblInd w:w="103" w:type="dxa"/>
        <w:tblLayout w:type="fixed"/>
        <w:tblLook w:val="04A0" w:firstRow="1" w:lastRow="0" w:firstColumn="1" w:lastColumn="0" w:noHBand="0" w:noVBand="1"/>
      </w:tblPr>
      <w:tblGrid>
        <w:gridCol w:w="2975"/>
        <w:gridCol w:w="1410"/>
        <w:gridCol w:w="1560"/>
        <w:gridCol w:w="1260"/>
      </w:tblGrid>
      <w:tr w:rsidR="00192583" w:rsidRPr="008720F3" w:rsidTr="00BA547B">
        <w:trPr>
          <w:trHeight w:val="330"/>
        </w:trPr>
        <w:tc>
          <w:tcPr>
            <w:tcW w:w="2975" w:type="dxa"/>
            <w:tcBorders>
              <w:top w:val="single" w:sz="4" w:space="0" w:color="auto"/>
              <w:left w:val="single" w:sz="4" w:space="0" w:color="auto"/>
              <w:bottom w:val="single" w:sz="4" w:space="0" w:color="auto"/>
              <w:right w:val="nil"/>
            </w:tcBorders>
            <w:shd w:val="clear" w:color="auto" w:fill="auto"/>
            <w:noWrap/>
            <w:vAlign w:val="center"/>
            <w:hideMark/>
          </w:tcPr>
          <w:p w:rsidR="00192583" w:rsidRPr="008720F3" w:rsidRDefault="00192583" w:rsidP="00BA547B">
            <w:pPr>
              <w:spacing w:after="0" w:line="240" w:lineRule="auto"/>
              <w:rPr>
                <w:rFonts w:eastAsia="Times New Roman" w:cs="Arial"/>
                <w:b/>
                <w:bCs/>
                <w:sz w:val="20"/>
                <w:szCs w:val="20"/>
              </w:rPr>
            </w:pPr>
            <w:r w:rsidRPr="008720F3">
              <w:rPr>
                <w:rFonts w:eastAsia="Times New Roman" w:cs="Arial"/>
                <w:b/>
                <w:bCs/>
                <w:sz w:val="20"/>
                <w:szCs w:val="20"/>
              </w:rPr>
              <w:t>Fuel Type</w:t>
            </w:r>
          </w:p>
        </w:tc>
        <w:tc>
          <w:tcPr>
            <w:tcW w:w="1410" w:type="dxa"/>
            <w:tcBorders>
              <w:top w:val="single" w:sz="4" w:space="0" w:color="auto"/>
              <w:left w:val="nil"/>
              <w:bottom w:val="single" w:sz="4" w:space="0" w:color="auto"/>
              <w:right w:val="nil"/>
            </w:tcBorders>
            <w:shd w:val="clear" w:color="auto" w:fill="auto"/>
            <w:noWrap/>
            <w:vAlign w:val="center"/>
            <w:hideMark/>
          </w:tcPr>
          <w:p w:rsidR="00192583" w:rsidRPr="008720F3" w:rsidRDefault="00192583" w:rsidP="00BA547B">
            <w:pPr>
              <w:spacing w:after="0" w:line="240" w:lineRule="auto"/>
              <w:jc w:val="center"/>
              <w:rPr>
                <w:rFonts w:eastAsia="Times New Roman" w:cs="Arial"/>
                <w:b/>
                <w:bCs/>
                <w:sz w:val="20"/>
                <w:szCs w:val="20"/>
              </w:rPr>
            </w:pPr>
            <w:r w:rsidRPr="008720F3">
              <w:rPr>
                <w:rFonts w:eastAsia="Times New Roman" w:cs="Arial"/>
                <w:b/>
                <w:bCs/>
                <w:sz w:val="20"/>
                <w:szCs w:val="20"/>
              </w:rPr>
              <w:t>Europe</w:t>
            </w:r>
          </w:p>
        </w:tc>
        <w:tc>
          <w:tcPr>
            <w:tcW w:w="1560" w:type="dxa"/>
            <w:tcBorders>
              <w:top w:val="single" w:sz="4" w:space="0" w:color="auto"/>
              <w:left w:val="nil"/>
              <w:bottom w:val="single" w:sz="4" w:space="0" w:color="auto"/>
              <w:right w:val="nil"/>
            </w:tcBorders>
            <w:shd w:val="clear" w:color="auto" w:fill="auto"/>
            <w:noWrap/>
            <w:vAlign w:val="center"/>
            <w:hideMark/>
          </w:tcPr>
          <w:p w:rsidR="00192583" w:rsidRPr="008720F3" w:rsidRDefault="00192583" w:rsidP="00BA547B">
            <w:pPr>
              <w:spacing w:after="0" w:line="240" w:lineRule="auto"/>
              <w:jc w:val="center"/>
              <w:rPr>
                <w:rFonts w:eastAsia="Times New Roman" w:cs="Arial"/>
                <w:b/>
                <w:bCs/>
                <w:sz w:val="20"/>
                <w:szCs w:val="20"/>
              </w:rPr>
            </w:pPr>
            <w:r w:rsidRPr="008720F3">
              <w:rPr>
                <w:rFonts w:eastAsia="Times New Roman" w:cs="Arial"/>
                <w:b/>
                <w:bCs/>
                <w:sz w:val="20"/>
                <w:szCs w:val="20"/>
              </w:rPr>
              <w:t>United States</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192583" w:rsidRPr="008720F3" w:rsidRDefault="00192583" w:rsidP="00BA547B">
            <w:pPr>
              <w:spacing w:after="0" w:line="240" w:lineRule="auto"/>
              <w:jc w:val="center"/>
              <w:rPr>
                <w:rFonts w:eastAsia="Times New Roman" w:cs="Arial"/>
                <w:b/>
                <w:bCs/>
                <w:sz w:val="20"/>
                <w:szCs w:val="20"/>
              </w:rPr>
            </w:pPr>
            <w:r w:rsidRPr="008720F3">
              <w:rPr>
                <w:rFonts w:eastAsia="Times New Roman" w:cs="Arial"/>
                <w:b/>
                <w:bCs/>
                <w:sz w:val="20"/>
                <w:szCs w:val="20"/>
              </w:rPr>
              <w:t>China</w:t>
            </w:r>
          </w:p>
        </w:tc>
      </w:tr>
      <w:tr w:rsidR="00192583" w:rsidRPr="008720F3" w:rsidTr="00BA547B">
        <w:trPr>
          <w:trHeight w:val="300"/>
        </w:trPr>
        <w:tc>
          <w:tcPr>
            <w:tcW w:w="2975" w:type="dxa"/>
            <w:tcBorders>
              <w:top w:val="nil"/>
              <w:left w:val="single" w:sz="4" w:space="0" w:color="auto"/>
              <w:bottom w:val="nil"/>
              <w:right w:val="nil"/>
            </w:tcBorders>
            <w:shd w:val="clear" w:color="auto" w:fill="auto"/>
            <w:noWrap/>
            <w:vAlign w:val="center"/>
            <w:hideMark/>
          </w:tcPr>
          <w:p w:rsidR="00192583" w:rsidRPr="008720F3" w:rsidRDefault="00192583" w:rsidP="00BA547B">
            <w:pPr>
              <w:spacing w:after="0" w:line="240" w:lineRule="auto"/>
              <w:rPr>
                <w:rFonts w:eastAsia="Times New Roman" w:cs="Arial"/>
                <w:sz w:val="20"/>
                <w:szCs w:val="20"/>
              </w:rPr>
            </w:pPr>
            <w:r w:rsidRPr="008720F3">
              <w:rPr>
                <w:rFonts w:eastAsia="Times New Roman" w:cs="Arial"/>
                <w:sz w:val="20"/>
                <w:szCs w:val="20"/>
              </w:rPr>
              <w:t>Natural Gas (CNG)</w:t>
            </w:r>
          </w:p>
        </w:tc>
        <w:tc>
          <w:tcPr>
            <w:tcW w:w="1410" w:type="dxa"/>
            <w:tcBorders>
              <w:top w:val="nil"/>
              <w:left w:val="nil"/>
              <w:bottom w:val="nil"/>
              <w:right w:val="nil"/>
            </w:tcBorders>
            <w:shd w:val="clear" w:color="auto" w:fill="auto"/>
            <w:noWrap/>
            <w:vAlign w:val="center"/>
            <w:hideMark/>
          </w:tcPr>
          <w:p w:rsidR="00192583" w:rsidRPr="008720F3" w:rsidRDefault="00192583" w:rsidP="00BA547B">
            <w:pPr>
              <w:spacing w:after="0" w:line="240" w:lineRule="auto"/>
              <w:jc w:val="right"/>
              <w:rPr>
                <w:rFonts w:cs="Arial"/>
                <w:sz w:val="20"/>
                <w:szCs w:val="20"/>
              </w:rPr>
            </w:pPr>
            <w:r w:rsidRPr="008720F3">
              <w:rPr>
                <w:rFonts w:cs="Arial"/>
                <w:sz w:val="20"/>
                <w:szCs w:val="20"/>
              </w:rPr>
              <w:t>1,000,000</w:t>
            </w:r>
          </w:p>
        </w:tc>
        <w:tc>
          <w:tcPr>
            <w:tcW w:w="1560" w:type="dxa"/>
            <w:tcBorders>
              <w:top w:val="nil"/>
              <w:left w:val="nil"/>
              <w:bottom w:val="nil"/>
              <w:right w:val="nil"/>
            </w:tcBorders>
            <w:shd w:val="clear" w:color="auto" w:fill="auto"/>
            <w:noWrap/>
            <w:vAlign w:val="center"/>
            <w:hideMark/>
          </w:tcPr>
          <w:p w:rsidR="00192583" w:rsidRPr="008720F3" w:rsidRDefault="00192583" w:rsidP="00BA547B">
            <w:pPr>
              <w:spacing w:after="0" w:line="240" w:lineRule="auto"/>
              <w:jc w:val="right"/>
              <w:rPr>
                <w:rFonts w:cs="Arial"/>
                <w:sz w:val="20"/>
                <w:szCs w:val="20"/>
              </w:rPr>
            </w:pPr>
            <w:r w:rsidRPr="008720F3">
              <w:rPr>
                <w:rFonts w:cs="Arial"/>
                <w:sz w:val="20"/>
                <w:szCs w:val="20"/>
              </w:rPr>
              <w:t>77,000</w:t>
            </w:r>
          </w:p>
        </w:tc>
        <w:tc>
          <w:tcPr>
            <w:tcW w:w="1260" w:type="dxa"/>
            <w:tcBorders>
              <w:top w:val="nil"/>
              <w:left w:val="nil"/>
              <w:bottom w:val="nil"/>
              <w:right w:val="single" w:sz="4" w:space="0" w:color="auto"/>
            </w:tcBorders>
            <w:shd w:val="clear" w:color="auto" w:fill="auto"/>
            <w:noWrap/>
            <w:vAlign w:val="center"/>
            <w:hideMark/>
          </w:tcPr>
          <w:p w:rsidR="00192583" w:rsidRPr="008720F3" w:rsidRDefault="00192583" w:rsidP="00BA547B">
            <w:pPr>
              <w:spacing w:after="0" w:line="240" w:lineRule="auto"/>
              <w:jc w:val="right"/>
              <w:rPr>
                <w:rFonts w:cs="Arial"/>
                <w:sz w:val="20"/>
                <w:szCs w:val="20"/>
              </w:rPr>
            </w:pPr>
            <w:r w:rsidRPr="008720F3">
              <w:rPr>
                <w:rFonts w:cs="Arial"/>
                <w:sz w:val="20"/>
                <w:szCs w:val="20"/>
              </w:rPr>
              <w:t>530,000</w:t>
            </w:r>
          </w:p>
        </w:tc>
      </w:tr>
      <w:tr w:rsidR="00192583" w:rsidRPr="008720F3" w:rsidTr="00BA547B">
        <w:trPr>
          <w:trHeight w:val="300"/>
        </w:trPr>
        <w:tc>
          <w:tcPr>
            <w:tcW w:w="2975" w:type="dxa"/>
            <w:tcBorders>
              <w:top w:val="nil"/>
              <w:left w:val="single" w:sz="4" w:space="0" w:color="auto"/>
              <w:bottom w:val="nil"/>
              <w:right w:val="nil"/>
            </w:tcBorders>
            <w:shd w:val="clear" w:color="auto" w:fill="auto"/>
            <w:noWrap/>
            <w:vAlign w:val="center"/>
            <w:hideMark/>
          </w:tcPr>
          <w:p w:rsidR="00192583" w:rsidRPr="008720F3" w:rsidRDefault="00192583" w:rsidP="00BA547B">
            <w:pPr>
              <w:spacing w:after="0" w:line="240" w:lineRule="auto"/>
              <w:rPr>
                <w:rFonts w:eastAsia="Times New Roman" w:cs="Arial"/>
                <w:sz w:val="20"/>
                <w:szCs w:val="20"/>
              </w:rPr>
            </w:pPr>
            <w:r w:rsidRPr="008720F3">
              <w:rPr>
                <w:rFonts w:eastAsia="Times New Roman" w:cs="Arial"/>
                <w:sz w:val="20"/>
                <w:szCs w:val="20"/>
              </w:rPr>
              <w:t>Flex-Fuel (E85)</w:t>
            </w:r>
          </w:p>
        </w:tc>
        <w:tc>
          <w:tcPr>
            <w:tcW w:w="1410" w:type="dxa"/>
            <w:tcBorders>
              <w:top w:val="nil"/>
              <w:left w:val="nil"/>
              <w:bottom w:val="nil"/>
              <w:right w:val="nil"/>
            </w:tcBorders>
            <w:shd w:val="clear" w:color="auto" w:fill="auto"/>
            <w:noWrap/>
            <w:vAlign w:val="center"/>
            <w:hideMark/>
          </w:tcPr>
          <w:p w:rsidR="00192583" w:rsidRPr="008720F3" w:rsidRDefault="00192583" w:rsidP="00BA547B">
            <w:pPr>
              <w:spacing w:after="0" w:line="240" w:lineRule="auto"/>
              <w:jc w:val="right"/>
              <w:rPr>
                <w:rFonts w:cs="Arial"/>
                <w:sz w:val="20"/>
                <w:szCs w:val="20"/>
              </w:rPr>
            </w:pPr>
            <w:r w:rsidRPr="008720F3">
              <w:rPr>
                <w:rFonts w:cs="Arial"/>
                <w:sz w:val="20"/>
                <w:szCs w:val="20"/>
              </w:rPr>
              <w:t>160,000</w:t>
            </w:r>
          </w:p>
        </w:tc>
        <w:tc>
          <w:tcPr>
            <w:tcW w:w="1560" w:type="dxa"/>
            <w:tcBorders>
              <w:top w:val="nil"/>
              <w:left w:val="nil"/>
              <w:bottom w:val="nil"/>
              <w:right w:val="nil"/>
            </w:tcBorders>
            <w:shd w:val="clear" w:color="auto" w:fill="auto"/>
            <w:noWrap/>
            <w:vAlign w:val="center"/>
            <w:hideMark/>
          </w:tcPr>
          <w:p w:rsidR="00192583" w:rsidRPr="008720F3" w:rsidRDefault="00192583" w:rsidP="00BA547B">
            <w:pPr>
              <w:spacing w:after="0" w:line="240" w:lineRule="auto"/>
              <w:jc w:val="right"/>
              <w:rPr>
                <w:rFonts w:cs="Arial"/>
                <w:sz w:val="20"/>
                <w:szCs w:val="20"/>
              </w:rPr>
            </w:pPr>
            <w:r w:rsidRPr="008720F3">
              <w:rPr>
                <w:rFonts w:cs="Arial"/>
                <w:sz w:val="20"/>
                <w:szCs w:val="20"/>
              </w:rPr>
              <w:t>2,800,000</w:t>
            </w:r>
          </w:p>
        </w:tc>
        <w:tc>
          <w:tcPr>
            <w:tcW w:w="1260" w:type="dxa"/>
            <w:tcBorders>
              <w:top w:val="nil"/>
              <w:left w:val="nil"/>
              <w:bottom w:val="nil"/>
              <w:right w:val="single" w:sz="4" w:space="0" w:color="auto"/>
            </w:tcBorders>
            <w:shd w:val="clear" w:color="auto" w:fill="auto"/>
            <w:noWrap/>
            <w:vAlign w:val="center"/>
            <w:hideMark/>
          </w:tcPr>
          <w:p w:rsidR="00192583" w:rsidRPr="008720F3" w:rsidRDefault="00192583" w:rsidP="00BA547B">
            <w:pPr>
              <w:spacing w:after="0" w:line="240" w:lineRule="auto"/>
              <w:jc w:val="right"/>
              <w:rPr>
                <w:rFonts w:cs="Arial"/>
                <w:sz w:val="20"/>
                <w:szCs w:val="20"/>
              </w:rPr>
            </w:pPr>
            <w:r w:rsidRPr="008720F3">
              <w:rPr>
                <w:rFonts w:cs="Arial"/>
                <w:sz w:val="20"/>
                <w:szCs w:val="20"/>
              </w:rPr>
              <w:t xml:space="preserve"> - </w:t>
            </w:r>
          </w:p>
        </w:tc>
      </w:tr>
      <w:tr w:rsidR="00192583" w:rsidRPr="008720F3" w:rsidTr="00BA547B">
        <w:trPr>
          <w:trHeight w:val="300"/>
        </w:trPr>
        <w:tc>
          <w:tcPr>
            <w:tcW w:w="2975" w:type="dxa"/>
            <w:tcBorders>
              <w:top w:val="nil"/>
              <w:left w:val="single" w:sz="4" w:space="0" w:color="auto"/>
              <w:bottom w:val="nil"/>
              <w:right w:val="nil"/>
            </w:tcBorders>
            <w:shd w:val="clear" w:color="auto" w:fill="auto"/>
            <w:noWrap/>
            <w:vAlign w:val="center"/>
            <w:hideMark/>
          </w:tcPr>
          <w:p w:rsidR="00192583" w:rsidRPr="008720F3" w:rsidRDefault="00192583" w:rsidP="00BA547B">
            <w:pPr>
              <w:spacing w:after="0" w:line="240" w:lineRule="auto"/>
              <w:rPr>
                <w:rFonts w:eastAsia="Times New Roman" w:cs="Arial"/>
                <w:sz w:val="20"/>
                <w:szCs w:val="20"/>
              </w:rPr>
            </w:pPr>
            <w:r w:rsidRPr="008720F3">
              <w:rPr>
                <w:rFonts w:eastAsia="Times New Roman" w:cs="Arial"/>
                <w:sz w:val="20"/>
                <w:szCs w:val="20"/>
              </w:rPr>
              <w:t>Plug-in Electric (BEV &amp; PHEV)</w:t>
            </w:r>
          </w:p>
        </w:tc>
        <w:tc>
          <w:tcPr>
            <w:tcW w:w="1410" w:type="dxa"/>
            <w:tcBorders>
              <w:top w:val="nil"/>
              <w:left w:val="nil"/>
              <w:bottom w:val="nil"/>
              <w:right w:val="nil"/>
            </w:tcBorders>
            <w:shd w:val="clear" w:color="auto" w:fill="auto"/>
            <w:noWrap/>
            <w:vAlign w:val="center"/>
            <w:hideMark/>
          </w:tcPr>
          <w:p w:rsidR="00192583" w:rsidRPr="008720F3" w:rsidRDefault="00192583" w:rsidP="00BA547B">
            <w:pPr>
              <w:spacing w:after="0" w:line="240" w:lineRule="auto"/>
              <w:jc w:val="right"/>
              <w:rPr>
                <w:rFonts w:cs="Arial"/>
                <w:sz w:val="20"/>
                <w:szCs w:val="20"/>
              </w:rPr>
            </w:pPr>
            <w:r w:rsidRPr="008720F3">
              <w:rPr>
                <w:rFonts w:cs="Arial"/>
                <w:sz w:val="20"/>
                <w:szCs w:val="20"/>
              </w:rPr>
              <w:t>1,500,000</w:t>
            </w:r>
          </w:p>
        </w:tc>
        <w:tc>
          <w:tcPr>
            <w:tcW w:w="1560" w:type="dxa"/>
            <w:tcBorders>
              <w:top w:val="nil"/>
              <w:left w:val="nil"/>
              <w:bottom w:val="nil"/>
              <w:right w:val="nil"/>
            </w:tcBorders>
            <w:shd w:val="clear" w:color="auto" w:fill="auto"/>
            <w:noWrap/>
            <w:vAlign w:val="center"/>
            <w:hideMark/>
          </w:tcPr>
          <w:p w:rsidR="00192583" w:rsidRPr="008720F3" w:rsidRDefault="00192583" w:rsidP="00BA547B">
            <w:pPr>
              <w:spacing w:after="0" w:line="240" w:lineRule="auto"/>
              <w:jc w:val="right"/>
              <w:rPr>
                <w:rFonts w:cs="Arial"/>
                <w:sz w:val="20"/>
                <w:szCs w:val="20"/>
              </w:rPr>
            </w:pPr>
            <w:r w:rsidRPr="008720F3">
              <w:rPr>
                <w:rFonts w:cs="Arial"/>
                <w:sz w:val="20"/>
                <w:szCs w:val="20"/>
              </w:rPr>
              <w:t>460,000</w:t>
            </w:r>
          </w:p>
        </w:tc>
        <w:tc>
          <w:tcPr>
            <w:tcW w:w="1260" w:type="dxa"/>
            <w:tcBorders>
              <w:top w:val="nil"/>
              <w:left w:val="nil"/>
              <w:bottom w:val="nil"/>
              <w:right w:val="single" w:sz="4" w:space="0" w:color="auto"/>
            </w:tcBorders>
            <w:shd w:val="clear" w:color="auto" w:fill="auto"/>
            <w:noWrap/>
            <w:vAlign w:val="center"/>
            <w:hideMark/>
          </w:tcPr>
          <w:p w:rsidR="00192583" w:rsidRPr="008720F3" w:rsidRDefault="00192583" w:rsidP="00BA547B">
            <w:pPr>
              <w:spacing w:after="0" w:line="240" w:lineRule="auto"/>
              <w:jc w:val="right"/>
              <w:rPr>
                <w:rFonts w:cs="Arial"/>
                <w:sz w:val="20"/>
                <w:szCs w:val="20"/>
              </w:rPr>
            </w:pPr>
            <w:r w:rsidRPr="008720F3">
              <w:rPr>
                <w:rFonts w:cs="Arial"/>
                <w:sz w:val="20"/>
                <w:szCs w:val="20"/>
              </w:rPr>
              <w:t>1,500,000</w:t>
            </w:r>
          </w:p>
        </w:tc>
      </w:tr>
      <w:tr w:rsidR="00192583" w:rsidRPr="008720F3" w:rsidTr="00BA547B">
        <w:trPr>
          <w:trHeight w:val="315"/>
        </w:trPr>
        <w:tc>
          <w:tcPr>
            <w:tcW w:w="2975" w:type="dxa"/>
            <w:tcBorders>
              <w:top w:val="nil"/>
              <w:left w:val="single" w:sz="4" w:space="0" w:color="auto"/>
              <w:bottom w:val="single" w:sz="4" w:space="0" w:color="auto"/>
              <w:right w:val="nil"/>
            </w:tcBorders>
            <w:shd w:val="clear" w:color="auto" w:fill="auto"/>
            <w:noWrap/>
            <w:vAlign w:val="center"/>
            <w:hideMark/>
          </w:tcPr>
          <w:p w:rsidR="00192583" w:rsidRPr="008720F3" w:rsidRDefault="00192583" w:rsidP="00BA547B">
            <w:pPr>
              <w:spacing w:after="0" w:line="240" w:lineRule="auto"/>
              <w:rPr>
                <w:rFonts w:eastAsia="Times New Roman" w:cs="Arial"/>
                <w:sz w:val="20"/>
                <w:szCs w:val="20"/>
              </w:rPr>
            </w:pPr>
            <w:r w:rsidRPr="008720F3">
              <w:rPr>
                <w:rFonts w:eastAsia="Times New Roman" w:cs="Arial"/>
                <w:sz w:val="20"/>
                <w:szCs w:val="20"/>
              </w:rPr>
              <w:t>Hydrogen (Fuel Cell)</w:t>
            </w:r>
          </w:p>
        </w:tc>
        <w:tc>
          <w:tcPr>
            <w:tcW w:w="1410" w:type="dxa"/>
            <w:tcBorders>
              <w:top w:val="nil"/>
              <w:left w:val="nil"/>
              <w:bottom w:val="single" w:sz="4" w:space="0" w:color="auto"/>
              <w:right w:val="nil"/>
            </w:tcBorders>
            <w:shd w:val="clear" w:color="auto" w:fill="auto"/>
            <w:noWrap/>
            <w:vAlign w:val="center"/>
            <w:hideMark/>
          </w:tcPr>
          <w:p w:rsidR="00192583" w:rsidRPr="008720F3" w:rsidRDefault="00192583" w:rsidP="00BA547B">
            <w:pPr>
              <w:spacing w:after="0" w:line="240" w:lineRule="auto"/>
              <w:jc w:val="right"/>
              <w:rPr>
                <w:rFonts w:cs="Arial"/>
                <w:sz w:val="20"/>
                <w:szCs w:val="20"/>
              </w:rPr>
            </w:pPr>
            <w:r w:rsidRPr="008720F3">
              <w:rPr>
                <w:rFonts w:cs="Arial"/>
                <w:sz w:val="20"/>
                <w:szCs w:val="20"/>
              </w:rPr>
              <w:t>21,000</w:t>
            </w:r>
          </w:p>
        </w:tc>
        <w:tc>
          <w:tcPr>
            <w:tcW w:w="1560" w:type="dxa"/>
            <w:tcBorders>
              <w:top w:val="nil"/>
              <w:left w:val="nil"/>
              <w:bottom w:val="single" w:sz="4" w:space="0" w:color="auto"/>
              <w:right w:val="nil"/>
            </w:tcBorders>
            <w:shd w:val="clear" w:color="auto" w:fill="auto"/>
            <w:noWrap/>
            <w:vAlign w:val="center"/>
            <w:hideMark/>
          </w:tcPr>
          <w:p w:rsidR="00192583" w:rsidRPr="008720F3" w:rsidRDefault="00192583" w:rsidP="00BA547B">
            <w:pPr>
              <w:spacing w:after="0" w:line="240" w:lineRule="auto"/>
              <w:jc w:val="right"/>
              <w:rPr>
                <w:rFonts w:cs="Arial"/>
                <w:sz w:val="20"/>
                <w:szCs w:val="20"/>
              </w:rPr>
            </w:pPr>
            <w:r w:rsidRPr="008720F3">
              <w:rPr>
                <w:rFonts w:cs="Arial"/>
                <w:sz w:val="20"/>
                <w:szCs w:val="20"/>
              </w:rPr>
              <w:t>830</w:t>
            </w:r>
          </w:p>
        </w:tc>
        <w:tc>
          <w:tcPr>
            <w:tcW w:w="1260" w:type="dxa"/>
            <w:tcBorders>
              <w:top w:val="nil"/>
              <w:left w:val="nil"/>
              <w:bottom w:val="single" w:sz="4" w:space="0" w:color="auto"/>
              <w:right w:val="single" w:sz="4" w:space="0" w:color="auto"/>
            </w:tcBorders>
            <w:shd w:val="clear" w:color="auto" w:fill="auto"/>
            <w:noWrap/>
            <w:vAlign w:val="center"/>
            <w:hideMark/>
          </w:tcPr>
          <w:p w:rsidR="00192583" w:rsidRPr="008720F3" w:rsidRDefault="00192583" w:rsidP="00BA547B">
            <w:pPr>
              <w:spacing w:after="0" w:line="240" w:lineRule="auto"/>
              <w:jc w:val="right"/>
              <w:rPr>
                <w:rFonts w:cs="Arial"/>
                <w:sz w:val="20"/>
                <w:szCs w:val="20"/>
              </w:rPr>
            </w:pPr>
            <w:r w:rsidRPr="008720F3">
              <w:rPr>
                <w:rFonts w:cs="Arial"/>
                <w:sz w:val="20"/>
                <w:szCs w:val="20"/>
              </w:rPr>
              <w:t xml:space="preserve"> - </w:t>
            </w:r>
          </w:p>
        </w:tc>
      </w:tr>
      <w:tr w:rsidR="00192583" w:rsidRPr="008720F3" w:rsidTr="00BA547B">
        <w:trPr>
          <w:trHeight w:val="300"/>
        </w:trPr>
        <w:tc>
          <w:tcPr>
            <w:tcW w:w="2975" w:type="dxa"/>
            <w:tcBorders>
              <w:top w:val="nil"/>
              <w:left w:val="single" w:sz="4" w:space="0" w:color="auto"/>
              <w:bottom w:val="nil"/>
              <w:right w:val="nil"/>
            </w:tcBorders>
            <w:shd w:val="clear" w:color="auto" w:fill="auto"/>
            <w:noWrap/>
            <w:vAlign w:val="center"/>
            <w:hideMark/>
          </w:tcPr>
          <w:p w:rsidR="00192583" w:rsidRPr="008720F3" w:rsidRDefault="00192583" w:rsidP="00BA547B">
            <w:pPr>
              <w:spacing w:after="0" w:line="240" w:lineRule="auto"/>
              <w:rPr>
                <w:rFonts w:eastAsia="Times New Roman" w:cs="Arial"/>
                <w:sz w:val="20"/>
                <w:szCs w:val="20"/>
              </w:rPr>
            </w:pPr>
            <w:r w:rsidRPr="008720F3">
              <w:rPr>
                <w:rFonts w:eastAsia="Times New Roman" w:cs="Arial"/>
                <w:sz w:val="20"/>
                <w:szCs w:val="20"/>
              </w:rPr>
              <w:t>Total AFVs</w:t>
            </w:r>
          </w:p>
        </w:tc>
        <w:tc>
          <w:tcPr>
            <w:tcW w:w="1410" w:type="dxa"/>
            <w:tcBorders>
              <w:top w:val="nil"/>
              <w:left w:val="nil"/>
              <w:bottom w:val="nil"/>
              <w:right w:val="nil"/>
            </w:tcBorders>
            <w:shd w:val="clear" w:color="auto" w:fill="auto"/>
            <w:noWrap/>
            <w:vAlign w:val="center"/>
            <w:hideMark/>
          </w:tcPr>
          <w:p w:rsidR="00192583" w:rsidRPr="008720F3" w:rsidRDefault="00192583" w:rsidP="00BA547B">
            <w:pPr>
              <w:spacing w:after="0" w:line="240" w:lineRule="auto"/>
              <w:jc w:val="right"/>
              <w:rPr>
                <w:rFonts w:cs="Arial"/>
                <w:sz w:val="20"/>
                <w:szCs w:val="20"/>
              </w:rPr>
            </w:pPr>
            <w:r w:rsidRPr="008720F3">
              <w:rPr>
                <w:rFonts w:cs="Arial"/>
                <w:sz w:val="20"/>
                <w:szCs w:val="20"/>
              </w:rPr>
              <w:t>2,700,000</w:t>
            </w:r>
          </w:p>
        </w:tc>
        <w:tc>
          <w:tcPr>
            <w:tcW w:w="1560" w:type="dxa"/>
            <w:tcBorders>
              <w:top w:val="nil"/>
              <w:left w:val="nil"/>
              <w:bottom w:val="nil"/>
              <w:right w:val="nil"/>
            </w:tcBorders>
            <w:shd w:val="clear" w:color="auto" w:fill="auto"/>
            <w:noWrap/>
            <w:vAlign w:val="center"/>
            <w:hideMark/>
          </w:tcPr>
          <w:p w:rsidR="00192583" w:rsidRPr="008720F3" w:rsidRDefault="00192583" w:rsidP="00BA547B">
            <w:pPr>
              <w:spacing w:after="0" w:line="240" w:lineRule="auto"/>
              <w:jc w:val="right"/>
              <w:rPr>
                <w:rFonts w:cs="Arial"/>
                <w:sz w:val="20"/>
                <w:szCs w:val="20"/>
              </w:rPr>
            </w:pPr>
            <w:r w:rsidRPr="008720F3">
              <w:rPr>
                <w:rFonts w:cs="Arial"/>
                <w:sz w:val="20"/>
                <w:szCs w:val="20"/>
              </w:rPr>
              <w:t>3,300,000</w:t>
            </w:r>
          </w:p>
        </w:tc>
        <w:tc>
          <w:tcPr>
            <w:tcW w:w="1260" w:type="dxa"/>
            <w:tcBorders>
              <w:top w:val="nil"/>
              <w:left w:val="nil"/>
              <w:bottom w:val="nil"/>
              <w:right w:val="single" w:sz="4" w:space="0" w:color="auto"/>
            </w:tcBorders>
            <w:shd w:val="clear" w:color="auto" w:fill="auto"/>
            <w:noWrap/>
            <w:vAlign w:val="center"/>
            <w:hideMark/>
          </w:tcPr>
          <w:p w:rsidR="00192583" w:rsidRPr="008720F3" w:rsidRDefault="00192583" w:rsidP="00BA547B">
            <w:pPr>
              <w:spacing w:after="0" w:line="240" w:lineRule="auto"/>
              <w:jc w:val="right"/>
              <w:rPr>
                <w:rFonts w:cs="Arial"/>
                <w:sz w:val="20"/>
                <w:szCs w:val="20"/>
              </w:rPr>
            </w:pPr>
            <w:r w:rsidRPr="008720F3">
              <w:rPr>
                <w:rFonts w:cs="Arial"/>
                <w:sz w:val="20"/>
                <w:szCs w:val="20"/>
              </w:rPr>
              <w:t>2,100,000</w:t>
            </w:r>
          </w:p>
        </w:tc>
      </w:tr>
      <w:tr w:rsidR="00192583" w:rsidRPr="008720F3" w:rsidTr="00BA547B">
        <w:trPr>
          <w:trHeight w:val="315"/>
        </w:trPr>
        <w:tc>
          <w:tcPr>
            <w:tcW w:w="2975" w:type="dxa"/>
            <w:tcBorders>
              <w:top w:val="nil"/>
              <w:left w:val="single" w:sz="4" w:space="0" w:color="auto"/>
              <w:bottom w:val="nil"/>
              <w:right w:val="nil"/>
            </w:tcBorders>
            <w:shd w:val="clear" w:color="auto" w:fill="auto"/>
            <w:noWrap/>
            <w:vAlign w:val="center"/>
            <w:hideMark/>
          </w:tcPr>
          <w:p w:rsidR="00192583" w:rsidRPr="008720F3" w:rsidRDefault="00192583" w:rsidP="00BA547B">
            <w:pPr>
              <w:spacing w:after="0" w:line="240" w:lineRule="auto"/>
              <w:rPr>
                <w:rFonts w:eastAsia="Times New Roman" w:cs="Arial"/>
                <w:sz w:val="20"/>
                <w:szCs w:val="20"/>
              </w:rPr>
            </w:pPr>
            <w:r w:rsidRPr="008720F3">
              <w:rPr>
                <w:rFonts w:eastAsia="Times New Roman" w:cs="Arial"/>
                <w:sz w:val="20"/>
                <w:szCs w:val="20"/>
              </w:rPr>
              <w:t>Total Sales</w:t>
            </w:r>
          </w:p>
        </w:tc>
        <w:tc>
          <w:tcPr>
            <w:tcW w:w="1410" w:type="dxa"/>
            <w:tcBorders>
              <w:top w:val="nil"/>
              <w:left w:val="nil"/>
              <w:bottom w:val="nil"/>
              <w:right w:val="nil"/>
            </w:tcBorders>
            <w:shd w:val="clear" w:color="auto" w:fill="auto"/>
            <w:noWrap/>
            <w:vAlign w:val="center"/>
            <w:hideMark/>
          </w:tcPr>
          <w:p w:rsidR="00192583" w:rsidRPr="008720F3" w:rsidRDefault="00192583" w:rsidP="00BA547B">
            <w:pPr>
              <w:spacing w:after="0" w:line="240" w:lineRule="auto"/>
              <w:jc w:val="right"/>
              <w:rPr>
                <w:rFonts w:cs="Arial"/>
                <w:sz w:val="20"/>
                <w:szCs w:val="20"/>
              </w:rPr>
            </w:pPr>
            <w:r w:rsidRPr="008720F3">
              <w:rPr>
                <w:rFonts w:cs="Arial"/>
                <w:sz w:val="20"/>
                <w:szCs w:val="20"/>
              </w:rPr>
              <w:t>28,000,000</w:t>
            </w:r>
          </w:p>
        </w:tc>
        <w:tc>
          <w:tcPr>
            <w:tcW w:w="1560" w:type="dxa"/>
            <w:tcBorders>
              <w:top w:val="nil"/>
              <w:left w:val="nil"/>
              <w:bottom w:val="nil"/>
              <w:right w:val="nil"/>
            </w:tcBorders>
            <w:shd w:val="clear" w:color="auto" w:fill="auto"/>
            <w:noWrap/>
            <w:vAlign w:val="center"/>
            <w:hideMark/>
          </w:tcPr>
          <w:p w:rsidR="00192583" w:rsidRPr="008720F3" w:rsidRDefault="00192583" w:rsidP="00BA547B">
            <w:pPr>
              <w:spacing w:after="0" w:line="240" w:lineRule="auto"/>
              <w:jc w:val="right"/>
              <w:rPr>
                <w:rFonts w:cs="Arial"/>
                <w:sz w:val="20"/>
                <w:szCs w:val="20"/>
              </w:rPr>
            </w:pPr>
            <w:r w:rsidRPr="008720F3">
              <w:rPr>
                <w:rFonts w:cs="Arial"/>
                <w:sz w:val="20"/>
                <w:szCs w:val="20"/>
              </w:rPr>
              <w:t>19,000,000</w:t>
            </w:r>
          </w:p>
        </w:tc>
        <w:tc>
          <w:tcPr>
            <w:tcW w:w="1260" w:type="dxa"/>
            <w:tcBorders>
              <w:top w:val="nil"/>
              <w:left w:val="nil"/>
              <w:bottom w:val="nil"/>
              <w:right w:val="single" w:sz="4" w:space="0" w:color="auto"/>
            </w:tcBorders>
            <w:shd w:val="clear" w:color="auto" w:fill="auto"/>
            <w:noWrap/>
            <w:vAlign w:val="center"/>
            <w:hideMark/>
          </w:tcPr>
          <w:p w:rsidR="00192583" w:rsidRPr="008720F3" w:rsidRDefault="00192583" w:rsidP="00BA547B">
            <w:pPr>
              <w:spacing w:after="0" w:line="240" w:lineRule="auto"/>
              <w:jc w:val="right"/>
              <w:rPr>
                <w:rFonts w:cs="Arial"/>
                <w:sz w:val="20"/>
                <w:szCs w:val="20"/>
              </w:rPr>
            </w:pPr>
            <w:r w:rsidRPr="008720F3">
              <w:rPr>
                <w:rFonts w:cs="Arial"/>
                <w:sz w:val="20"/>
                <w:szCs w:val="20"/>
              </w:rPr>
              <w:t>33,000,000</w:t>
            </w:r>
          </w:p>
        </w:tc>
      </w:tr>
      <w:tr w:rsidR="00192583" w:rsidRPr="008720F3" w:rsidTr="00BA547B">
        <w:trPr>
          <w:trHeight w:val="255"/>
        </w:trPr>
        <w:tc>
          <w:tcPr>
            <w:tcW w:w="2975" w:type="dxa"/>
            <w:tcBorders>
              <w:top w:val="nil"/>
              <w:left w:val="single" w:sz="4" w:space="0" w:color="auto"/>
              <w:bottom w:val="single" w:sz="4" w:space="0" w:color="auto"/>
              <w:right w:val="nil"/>
            </w:tcBorders>
            <w:shd w:val="clear" w:color="auto" w:fill="auto"/>
            <w:noWrap/>
            <w:vAlign w:val="center"/>
            <w:hideMark/>
          </w:tcPr>
          <w:p w:rsidR="00192583" w:rsidRPr="008720F3" w:rsidRDefault="00192583" w:rsidP="00BA547B">
            <w:pPr>
              <w:spacing w:after="0" w:line="240" w:lineRule="auto"/>
              <w:rPr>
                <w:rFonts w:eastAsia="Times New Roman" w:cs="Arial"/>
                <w:sz w:val="20"/>
                <w:szCs w:val="20"/>
              </w:rPr>
            </w:pPr>
            <w:r w:rsidRPr="008720F3">
              <w:rPr>
                <w:rFonts w:eastAsia="Times New Roman" w:cs="Arial"/>
                <w:sz w:val="20"/>
                <w:szCs w:val="20"/>
              </w:rPr>
              <w:t>AFV Market Share</w:t>
            </w:r>
          </w:p>
        </w:tc>
        <w:tc>
          <w:tcPr>
            <w:tcW w:w="1410" w:type="dxa"/>
            <w:tcBorders>
              <w:top w:val="nil"/>
              <w:left w:val="nil"/>
              <w:bottom w:val="single" w:sz="4" w:space="0" w:color="auto"/>
              <w:right w:val="nil"/>
            </w:tcBorders>
            <w:shd w:val="clear" w:color="auto" w:fill="auto"/>
            <w:noWrap/>
            <w:vAlign w:val="bottom"/>
            <w:hideMark/>
          </w:tcPr>
          <w:p w:rsidR="00192583" w:rsidRPr="008720F3" w:rsidRDefault="00192583" w:rsidP="00BA547B">
            <w:pPr>
              <w:spacing w:after="0" w:line="240" w:lineRule="auto"/>
              <w:jc w:val="right"/>
              <w:rPr>
                <w:rFonts w:cs="Arial"/>
                <w:sz w:val="20"/>
                <w:szCs w:val="20"/>
              </w:rPr>
            </w:pPr>
            <w:r w:rsidRPr="008720F3">
              <w:rPr>
                <w:rFonts w:cs="Arial"/>
                <w:sz w:val="20"/>
                <w:szCs w:val="20"/>
              </w:rPr>
              <w:t>9.6%</w:t>
            </w:r>
          </w:p>
        </w:tc>
        <w:tc>
          <w:tcPr>
            <w:tcW w:w="1560" w:type="dxa"/>
            <w:tcBorders>
              <w:top w:val="nil"/>
              <w:left w:val="nil"/>
              <w:bottom w:val="single" w:sz="4" w:space="0" w:color="auto"/>
              <w:right w:val="nil"/>
            </w:tcBorders>
            <w:shd w:val="clear" w:color="auto" w:fill="auto"/>
            <w:noWrap/>
            <w:vAlign w:val="bottom"/>
            <w:hideMark/>
          </w:tcPr>
          <w:p w:rsidR="00192583" w:rsidRPr="008720F3" w:rsidRDefault="00192583" w:rsidP="00BA547B">
            <w:pPr>
              <w:spacing w:after="0" w:line="240" w:lineRule="auto"/>
              <w:jc w:val="right"/>
              <w:rPr>
                <w:rFonts w:cs="Arial"/>
                <w:sz w:val="20"/>
                <w:szCs w:val="20"/>
              </w:rPr>
            </w:pPr>
            <w:r w:rsidRPr="008720F3">
              <w:rPr>
                <w:rFonts w:cs="Arial"/>
                <w:sz w:val="20"/>
                <w:szCs w:val="20"/>
              </w:rPr>
              <w:t>17.4%</w:t>
            </w:r>
          </w:p>
        </w:tc>
        <w:tc>
          <w:tcPr>
            <w:tcW w:w="1260" w:type="dxa"/>
            <w:tcBorders>
              <w:top w:val="nil"/>
              <w:left w:val="nil"/>
              <w:bottom w:val="single" w:sz="4" w:space="0" w:color="auto"/>
              <w:right w:val="single" w:sz="4" w:space="0" w:color="auto"/>
            </w:tcBorders>
            <w:shd w:val="clear" w:color="auto" w:fill="auto"/>
            <w:noWrap/>
            <w:vAlign w:val="bottom"/>
            <w:hideMark/>
          </w:tcPr>
          <w:p w:rsidR="00192583" w:rsidRPr="008720F3" w:rsidRDefault="00192583" w:rsidP="00BA547B">
            <w:pPr>
              <w:spacing w:after="0" w:line="240" w:lineRule="auto"/>
              <w:jc w:val="right"/>
              <w:rPr>
                <w:rFonts w:cs="Arial"/>
                <w:sz w:val="20"/>
                <w:szCs w:val="20"/>
              </w:rPr>
            </w:pPr>
            <w:r w:rsidRPr="008720F3">
              <w:rPr>
                <w:rFonts w:cs="Arial"/>
                <w:sz w:val="20"/>
                <w:szCs w:val="20"/>
              </w:rPr>
              <w:t>6.4%</w:t>
            </w:r>
          </w:p>
        </w:tc>
      </w:tr>
    </w:tbl>
    <w:p w:rsidR="00192583" w:rsidRPr="001F4DED" w:rsidRDefault="00192583" w:rsidP="00192583">
      <w:pPr>
        <w:spacing w:after="0"/>
        <w:rPr>
          <w:rFonts w:cs="Arial"/>
          <w:sz w:val="18"/>
          <w:szCs w:val="20"/>
        </w:rPr>
      </w:pPr>
      <w:r w:rsidRPr="001F4DED">
        <w:rPr>
          <w:rFonts w:cs="Arial"/>
          <w:sz w:val="18"/>
          <w:szCs w:val="20"/>
        </w:rPr>
        <w:t>Note: Resulting sales estimates are rounded to two significant digits; individual values may not add to totals.</w:t>
      </w:r>
    </w:p>
    <w:p w:rsidR="00192583" w:rsidRPr="008720F3" w:rsidRDefault="00192583" w:rsidP="00192583">
      <w:pPr>
        <w:rPr>
          <w:rFonts w:cs="Arial"/>
          <w:i/>
          <w:sz w:val="20"/>
          <w:szCs w:val="20"/>
        </w:rPr>
      </w:pPr>
      <w:r w:rsidRPr="008720F3">
        <w:rPr>
          <w:rFonts w:cs="Arial"/>
          <w:i/>
          <w:sz w:val="20"/>
          <w:szCs w:val="20"/>
        </w:rPr>
        <w:t>Sources:</w:t>
      </w:r>
      <w:r w:rsidRPr="008720F3">
        <w:t xml:space="preserve"> </w:t>
      </w:r>
      <w:r w:rsidRPr="008720F3">
        <w:rPr>
          <w:rFonts w:cs="Arial"/>
          <w:i/>
          <w:sz w:val="20"/>
          <w:szCs w:val="20"/>
        </w:rPr>
        <w:t>AFDC 2013, Durbin 2013, LMC Automotive 2013, Mock 2012, and Perkowski 2012</w:t>
      </w:r>
    </w:p>
    <w:p w:rsidR="005E2F3F" w:rsidRPr="003A7D62" w:rsidRDefault="00473E40" w:rsidP="005E2F3F">
      <w:pPr>
        <w:rPr>
          <w:rFonts w:cs="Arial"/>
          <w:szCs w:val="24"/>
        </w:rPr>
      </w:pPr>
      <w:r w:rsidRPr="003A7D62">
        <w:rPr>
          <w:rFonts w:cs="Arial"/>
          <w:szCs w:val="24"/>
        </w:rPr>
        <w:t>Table</w:t>
      </w:r>
      <w:r w:rsidR="00E87435" w:rsidRPr="003A7D62">
        <w:rPr>
          <w:rFonts w:cs="Arial"/>
          <w:szCs w:val="24"/>
        </w:rPr>
        <w:t xml:space="preserve"> 7</w:t>
      </w:r>
      <w:r w:rsidRPr="003A7D62">
        <w:rPr>
          <w:rFonts w:cs="Arial"/>
          <w:szCs w:val="24"/>
        </w:rPr>
        <w:t xml:space="preserve"> </w:t>
      </w:r>
      <w:r w:rsidR="008451AB" w:rsidRPr="003A7D62">
        <w:rPr>
          <w:rFonts w:cs="Arial"/>
          <w:szCs w:val="24"/>
        </w:rPr>
        <w:t>depict</w:t>
      </w:r>
      <w:r w:rsidR="00AA4CD0" w:rsidRPr="003A7D62">
        <w:rPr>
          <w:rFonts w:cs="Arial"/>
          <w:szCs w:val="24"/>
        </w:rPr>
        <w:t>s</w:t>
      </w:r>
      <w:r w:rsidRPr="003A7D62">
        <w:rPr>
          <w:rFonts w:cs="Arial"/>
          <w:szCs w:val="24"/>
        </w:rPr>
        <w:t xml:space="preserve"> AFV sales for the year 2030. </w:t>
      </w:r>
      <w:r w:rsidR="00AA4CD0" w:rsidRPr="003A7D62">
        <w:rPr>
          <w:rFonts w:cs="Arial"/>
          <w:szCs w:val="24"/>
        </w:rPr>
        <w:t>The extrapolated sales</w:t>
      </w:r>
      <w:r w:rsidRPr="003A7D62">
        <w:rPr>
          <w:rFonts w:cs="Arial"/>
          <w:szCs w:val="24"/>
        </w:rPr>
        <w:t xml:space="preserve"> estimates in this paper do not represent an official forecast, and are intended to be used only as a thought experiment. Other estimates of AFV </w:t>
      </w:r>
      <w:r w:rsidR="00AA4CD0" w:rsidRPr="003A7D62">
        <w:rPr>
          <w:rFonts w:cs="Arial"/>
          <w:szCs w:val="24"/>
        </w:rPr>
        <w:t xml:space="preserve">sales and </w:t>
      </w:r>
      <w:r w:rsidR="00033200" w:rsidRPr="003A7D62">
        <w:rPr>
          <w:rFonts w:cs="Arial"/>
          <w:szCs w:val="24"/>
        </w:rPr>
        <w:t>AFVs in operation</w:t>
      </w:r>
      <w:r w:rsidRPr="003A7D62">
        <w:rPr>
          <w:rFonts w:cs="Arial"/>
          <w:szCs w:val="24"/>
        </w:rPr>
        <w:t xml:space="preserve"> could be substituted and used to calculate infrastructure costs.</w:t>
      </w:r>
      <w:r w:rsidR="00B607FE" w:rsidRPr="003A7D62">
        <w:rPr>
          <w:rFonts w:cs="Arial"/>
          <w:szCs w:val="24"/>
        </w:rPr>
        <w:t xml:space="preserve"> </w:t>
      </w:r>
      <w:r w:rsidR="00033200" w:rsidRPr="003A7D62">
        <w:rPr>
          <w:rFonts w:cs="Arial"/>
          <w:szCs w:val="24"/>
        </w:rPr>
        <w:t>Estimates of AFV sales and AFVs in operation</w:t>
      </w:r>
      <w:r w:rsidR="00B607FE" w:rsidRPr="003A7D62">
        <w:rPr>
          <w:rFonts w:cs="Arial"/>
          <w:szCs w:val="24"/>
        </w:rPr>
        <w:t xml:space="preserve"> are based on sales and forecast data,</w:t>
      </w:r>
      <w:r w:rsidR="005F35F9" w:rsidRPr="003A7D62">
        <w:rPr>
          <w:rFonts w:cs="Arial"/>
          <w:szCs w:val="24"/>
        </w:rPr>
        <w:t xml:space="preserve"> </w:t>
      </w:r>
      <w:r w:rsidR="008451AB" w:rsidRPr="003A7D62">
        <w:rPr>
          <w:rFonts w:cs="Arial"/>
          <w:szCs w:val="24"/>
        </w:rPr>
        <w:t>and</w:t>
      </w:r>
      <w:r w:rsidR="005F35F9" w:rsidRPr="003A7D62">
        <w:rPr>
          <w:rFonts w:cs="Arial"/>
          <w:szCs w:val="24"/>
        </w:rPr>
        <w:t xml:space="preserve"> can be seen in Figures 3, 4, and 5</w:t>
      </w:r>
      <w:r w:rsidR="00B607FE" w:rsidRPr="003A7D62">
        <w:rPr>
          <w:rFonts w:cs="Arial"/>
          <w:szCs w:val="24"/>
        </w:rPr>
        <w:t xml:space="preserve"> for Europe, the United States, and China respectively.</w:t>
      </w:r>
    </w:p>
    <w:p w:rsidR="00192583" w:rsidRDefault="00192583" w:rsidP="00192583">
      <w:pPr>
        <w:rPr>
          <w:rFonts w:cs="Arial"/>
          <w:szCs w:val="24"/>
        </w:rPr>
      </w:pPr>
      <w:r w:rsidRPr="003A7D62">
        <w:rPr>
          <w:rFonts w:cs="Arial"/>
          <w:szCs w:val="24"/>
        </w:rPr>
        <w:t xml:space="preserve">The United States appears to have the largest light-duty AFV sales in 2030, with more than 17 percent of vehicles sold being classified as AFVs. It is worth noting, however, that nearly 85 percent all of AFVs </w:t>
      </w:r>
      <w:r w:rsidR="00BC7A90">
        <w:rPr>
          <w:rFonts w:cs="Arial"/>
          <w:szCs w:val="24"/>
        </w:rPr>
        <w:t xml:space="preserve">projected to be </w:t>
      </w:r>
      <w:r w:rsidRPr="003A7D62">
        <w:rPr>
          <w:rFonts w:cs="Arial"/>
          <w:szCs w:val="24"/>
        </w:rPr>
        <w:t>sold in the United States are flex-fuel vehicles, which can use any mixture of gasoline and ethanol</w:t>
      </w:r>
      <w:r w:rsidR="00952E46">
        <w:rPr>
          <w:rFonts w:cs="Arial"/>
          <w:szCs w:val="24"/>
        </w:rPr>
        <w:t xml:space="preserve"> up to E85</w:t>
      </w:r>
      <w:r w:rsidRPr="003A7D62">
        <w:rPr>
          <w:rFonts w:cs="Arial"/>
          <w:szCs w:val="24"/>
        </w:rPr>
        <w:t>. If flex-fuel vehicles were removed from AFV market share, China’s AFV market share would be unchanged and Europe’s would drop to 9.1 percent. In the United States, however, removing flex-fuel vehicles from the AFV market share calculation would decrease it to only 2.6 percent.</w:t>
      </w:r>
    </w:p>
    <w:p w:rsidR="00C20357" w:rsidRPr="00C20357" w:rsidRDefault="00C20357" w:rsidP="00192583">
      <w:r>
        <w:t>In the United States, the majority of flex-fuel vehicles are primarily fueled with regular gasoline rather than E85.</w:t>
      </w:r>
      <w:r>
        <w:rPr>
          <w:rStyle w:val="FootnoteReference"/>
        </w:rPr>
        <w:footnoteReference w:id="152"/>
      </w:r>
      <w:r>
        <w:t xml:space="preserve"> Unless refueling habits change, flex-fuel vehicles will provide only limited improvements in greenhouse gas emissions and petroleum dependence. While flex-fuel vehicles are projected to be the dominant type of AFV in the United States, other AFV technologies, such as CNG vehicles or PEVs, will likely have a greater effect. As mentioned previously, policy changes in the near future could also lead to a decline in flex-fuel vehicle sales, which would result in a lower sales trajectory than the one depicted in Figure 4.</w:t>
      </w:r>
    </w:p>
    <w:p w:rsidR="00192583" w:rsidRPr="00D95E4D" w:rsidRDefault="00D95E4D" w:rsidP="00192583">
      <w:pPr>
        <w:rPr>
          <w:rFonts w:cs="Arial"/>
        </w:rPr>
      </w:pPr>
      <w:r w:rsidRPr="00D95E4D">
        <w:rPr>
          <w:rFonts w:cs="Arial"/>
        </w:rPr>
        <w:lastRenderedPageBreak/>
        <w:t>Based on the assumption that vehicle lifetime is 13 years, the number of AFVs in operation in 2030 was estimated by summing the annual vehicle sales for each fuel type for the 13 years, from 2018 to 2030. Sales data and forecasts on flex-fuel and hydrogen fuel cell vehicles were limited for China, so those fuels were examined only for Europe and the United States. Information on electric and CNG vehicles was available for all three countries, allowing estimates to be made for each. Electric and CNG vehicles are the most popular replacements for conventional vehicles in China; China’s CNG vehicle programs date back to the late 1990s.</w:t>
      </w:r>
      <w:r w:rsidRPr="00D95E4D">
        <w:rPr>
          <w:rStyle w:val="FootnoteReference"/>
          <w:rFonts w:cs="Arial"/>
        </w:rPr>
        <w:footnoteReference w:id="153"/>
      </w:r>
    </w:p>
    <w:p w:rsidR="00192583" w:rsidRPr="008720F3" w:rsidRDefault="00192583">
      <w:pPr>
        <w:rPr>
          <w:rFonts w:cs="Arial"/>
          <w:sz w:val="24"/>
          <w:szCs w:val="24"/>
        </w:rPr>
      </w:pPr>
      <w:r w:rsidRPr="003A7D62">
        <w:rPr>
          <w:rFonts w:cs="Arial"/>
          <w:szCs w:val="24"/>
        </w:rPr>
        <w:t>The number of AFVs in operation by country for 2030, as seen in Table 8, indicates that CNG and plug-in electric vehicles will comprise the majority of the AFVs in operation in Europe. In contrast, flex-fuel vehicles will dominate the market in the United States. China will have the largest number of electric vehicles in operation, but will also have a considerable number of CNG vehicles on its roads. By 2030, hydrogen fuel cell vehicles will be relatively new and constitute only a fraction of the AFVs in operation in these countries.</w:t>
      </w:r>
      <w:r w:rsidRPr="008720F3">
        <w:rPr>
          <w:rFonts w:cs="Arial"/>
          <w:sz w:val="24"/>
          <w:szCs w:val="24"/>
        </w:rPr>
        <w:t xml:space="preserve"> </w:t>
      </w:r>
    </w:p>
    <w:p w:rsidR="005F35F9" w:rsidRPr="009F6661" w:rsidRDefault="005F35F9" w:rsidP="00984B07">
      <w:pPr>
        <w:pStyle w:val="Caption"/>
        <w:keepNext/>
        <w:spacing w:after="60" w:line="276" w:lineRule="auto"/>
        <w:rPr>
          <w:rFonts w:cs="Arial"/>
          <w:color w:val="auto"/>
          <w:sz w:val="20"/>
          <w:szCs w:val="24"/>
        </w:rPr>
      </w:pPr>
      <w:bookmarkStart w:id="55" w:name="_Toc352249438"/>
      <w:r w:rsidRPr="009F6661">
        <w:rPr>
          <w:rFonts w:cs="Arial"/>
          <w:color w:val="auto"/>
          <w:sz w:val="20"/>
          <w:szCs w:val="24"/>
        </w:rPr>
        <w:t xml:space="preserve">Figure </w:t>
      </w:r>
      <w:r w:rsidRPr="009F6661">
        <w:rPr>
          <w:rFonts w:cs="Arial"/>
          <w:color w:val="auto"/>
          <w:sz w:val="20"/>
          <w:szCs w:val="24"/>
        </w:rPr>
        <w:fldChar w:fldCharType="begin"/>
      </w:r>
      <w:r w:rsidRPr="009F6661">
        <w:rPr>
          <w:rFonts w:cs="Arial"/>
          <w:color w:val="auto"/>
          <w:sz w:val="20"/>
          <w:szCs w:val="24"/>
        </w:rPr>
        <w:instrText xml:space="preserve"> SEQ Figure \* ARABIC </w:instrText>
      </w:r>
      <w:r w:rsidRPr="009F6661">
        <w:rPr>
          <w:rFonts w:cs="Arial"/>
          <w:color w:val="auto"/>
          <w:sz w:val="20"/>
          <w:szCs w:val="24"/>
        </w:rPr>
        <w:fldChar w:fldCharType="separate"/>
      </w:r>
      <w:r w:rsidR="00E01A3B">
        <w:rPr>
          <w:rFonts w:cs="Arial"/>
          <w:noProof/>
          <w:color w:val="auto"/>
          <w:sz w:val="20"/>
          <w:szCs w:val="24"/>
        </w:rPr>
        <w:t>3</w:t>
      </w:r>
      <w:r w:rsidRPr="009F6661">
        <w:rPr>
          <w:rFonts w:cs="Arial"/>
          <w:color w:val="auto"/>
          <w:sz w:val="20"/>
          <w:szCs w:val="24"/>
        </w:rPr>
        <w:fldChar w:fldCharType="end"/>
      </w:r>
      <w:r w:rsidRPr="009F6661">
        <w:rPr>
          <w:rFonts w:cs="Arial"/>
          <w:color w:val="auto"/>
          <w:sz w:val="20"/>
          <w:szCs w:val="24"/>
        </w:rPr>
        <w:t>: AFV Sales for Europe from 2001-2030 by Fuel Type</w:t>
      </w:r>
      <w:bookmarkEnd w:id="55"/>
    </w:p>
    <w:p w:rsidR="00F67037" w:rsidRPr="00F5196C" w:rsidRDefault="003A7D62" w:rsidP="00F5196C">
      <w:pPr>
        <w:rPr>
          <w:rFonts w:cs="Arial"/>
          <w:i/>
          <w:sz w:val="20"/>
          <w:szCs w:val="20"/>
        </w:rPr>
      </w:pPr>
      <w:r>
        <w:rPr>
          <w:rFonts w:ascii="Arial" w:hAnsi="Arial" w:cs="Arial"/>
          <w:b/>
          <w:noProof/>
          <w:sz w:val="24"/>
          <w:szCs w:val="24"/>
        </w:rPr>
        <w:drawing>
          <wp:inline distT="0" distB="0" distL="0" distR="0" wp14:anchorId="16641C1F" wp14:editId="199797D9">
            <wp:extent cx="5939790" cy="2202180"/>
            <wp:effectExtent l="19050" t="19050" r="22860" b="26670"/>
            <wp:docPr id="10" name="Picture 10" descr="\\LOTUS\CAR Files\RES-SEDS-HILL\Alternative Fuel Vehicle Infrastructure\Figures for Consideration\Europe 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TUS\CAR Files\RES-SEDS-HILL\Alternative Fuel Vehicle Infrastructure\Figures for Consideration\Europe Graph.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9790" cy="2202180"/>
                    </a:xfrm>
                    <a:prstGeom prst="rect">
                      <a:avLst/>
                    </a:prstGeom>
                    <a:noFill/>
                    <a:ln>
                      <a:solidFill>
                        <a:schemeClr val="tx1"/>
                      </a:solidFill>
                    </a:ln>
                  </pic:spPr>
                </pic:pic>
              </a:graphicData>
            </a:graphic>
          </wp:inline>
        </w:drawing>
      </w:r>
      <w:r w:rsidR="009444F6" w:rsidRPr="008720F3">
        <w:rPr>
          <w:rFonts w:cs="Arial"/>
          <w:i/>
          <w:sz w:val="20"/>
          <w:szCs w:val="20"/>
        </w:rPr>
        <w:t>Sources:</w:t>
      </w:r>
      <w:r w:rsidR="009444F6" w:rsidRPr="008720F3">
        <w:t xml:space="preserve"> </w:t>
      </w:r>
      <w:r w:rsidR="009444F6" w:rsidRPr="008720F3">
        <w:rPr>
          <w:rFonts w:cs="Arial"/>
          <w:i/>
          <w:sz w:val="20"/>
          <w:szCs w:val="20"/>
        </w:rPr>
        <w:t>AFDC 2013, Durbin 2013, LMC Automotive 2013, Mock 2012, and Perkowski 2012</w:t>
      </w:r>
    </w:p>
    <w:p w:rsidR="000E2E6C" w:rsidRPr="009F6661" w:rsidRDefault="005F35F9" w:rsidP="00984B07">
      <w:pPr>
        <w:pStyle w:val="Caption"/>
        <w:keepNext/>
        <w:spacing w:after="60" w:line="276" w:lineRule="auto"/>
        <w:rPr>
          <w:rFonts w:cs="Arial"/>
          <w:color w:val="auto"/>
          <w:sz w:val="20"/>
          <w:szCs w:val="24"/>
        </w:rPr>
      </w:pPr>
      <w:bookmarkStart w:id="56" w:name="_Toc352249439"/>
      <w:r w:rsidRPr="009F6661">
        <w:rPr>
          <w:rFonts w:cs="Arial"/>
          <w:color w:val="auto"/>
          <w:sz w:val="20"/>
          <w:szCs w:val="24"/>
        </w:rPr>
        <w:lastRenderedPageBreak/>
        <w:t xml:space="preserve">Figure </w:t>
      </w:r>
      <w:r w:rsidRPr="009F6661">
        <w:rPr>
          <w:rFonts w:cs="Arial"/>
          <w:color w:val="auto"/>
          <w:sz w:val="20"/>
          <w:szCs w:val="24"/>
        </w:rPr>
        <w:fldChar w:fldCharType="begin"/>
      </w:r>
      <w:r w:rsidRPr="009F6661">
        <w:rPr>
          <w:rFonts w:cs="Arial"/>
          <w:color w:val="auto"/>
          <w:sz w:val="20"/>
          <w:szCs w:val="24"/>
        </w:rPr>
        <w:instrText xml:space="preserve"> SEQ Figure \* ARABIC </w:instrText>
      </w:r>
      <w:r w:rsidRPr="009F6661">
        <w:rPr>
          <w:rFonts w:cs="Arial"/>
          <w:color w:val="auto"/>
          <w:sz w:val="20"/>
          <w:szCs w:val="24"/>
        </w:rPr>
        <w:fldChar w:fldCharType="separate"/>
      </w:r>
      <w:r w:rsidR="00E01A3B">
        <w:rPr>
          <w:rFonts w:cs="Arial"/>
          <w:noProof/>
          <w:color w:val="auto"/>
          <w:sz w:val="20"/>
          <w:szCs w:val="24"/>
        </w:rPr>
        <w:t>4</w:t>
      </w:r>
      <w:r w:rsidRPr="009F6661">
        <w:rPr>
          <w:rFonts w:cs="Arial"/>
          <w:color w:val="auto"/>
          <w:sz w:val="20"/>
          <w:szCs w:val="24"/>
        </w:rPr>
        <w:fldChar w:fldCharType="end"/>
      </w:r>
      <w:r w:rsidRPr="009F6661">
        <w:rPr>
          <w:rFonts w:cs="Arial"/>
          <w:color w:val="auto"/>
          <w:sz w:val="20"/>
          <w:szCs w:val="24"/>
        </w:rPr>
        <w:t>: AFV Sales for the United States from 2001-2030 by Fuel Type</w:t>
      </w:r>
      <w:bookmarkEnd w:id="56"/>
    </w:p>
    <w:p w:rsidR="00F5196C" w:rsidRPr="0062130D" w:rsidRDefault="003A7D62" w:rsidP="0062130D">
      <w:pPr>
        <w:rPr>
          <w:rFonts w:cs="Arial"/>
          <w:i/>
          <w:sz w:val="20"/>
          <w:szCs w:val="20"/>
        </w:rPr>
      </w:pPr>
      <w:r w:rsidRPr="008720F3">
        <w:rPr>
          <w:rFonts w:cs="Arial"/>
          <w:b/>
          <w:noProof/>
          <w:sz w:val="24"/>
          <w:szCs w:val="24"/>
        </w:rPr>
        <w:drawing>
          <wp:inline distT="0" distB="0" distL="0" distR="0" wp14:anchorId="67A9175A" wp14:editId="5CF1C863">
            <wp:extent cx="5939790" cy="2216785"/>
            <wp:effectExtent l="19050" t="19050" r="22860" b="12065"/>
            <wp:docPr id="11" name="Picture 11" descr="\\LOTUS\CAR Files\RES-SEDS-HILL\Alternative Fuel Vehicle Infrastructure\Figures for Consideration\USA 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TUS\CAR Files\RES-SEDS-HILL\Alternative Fuel Vehicle Infrastructure\Figures for Consideration\USA Graph.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9790" cy="2216785"/>
                    </a:xfrm>
                    <a:prstGeom prst="rect">
                      <a:avLst/>
                    </a:prstGeom>
                    <a:noFill/>
                    <a:ln>
                      <a:solidFill>
                        <a:schemeClr val="tx1"/>
                      </a:solidFill>
                    </a:ln>
                  </pic:spPr>
                </pic:pic>
              </a:graphicData>
            </a:graphic>
          </wp:inline>
        </w:drawing>
      </w:r>
      <w:r w:rsidR="009444F6" w:rsidRPr="008720F3">
        <w:rPr>
          <w:rFonts w:cs="Arial"/>
          <w:i/>
          <w:sz w:val="20"/>
          <w:szCs w:val="20"/>
        </w:rPr>
        <w:t>Sources:</w:t>
      </w:r>
      <w:r w:rsidR="009444F6" w:rsidRPr="008720F3">
        <w:t xml:space="preserve"> </w:t>
      </w:r>
      <w:r w:rsidR="009444F6" w:rsidRPr="008720F3">
        <w:rPr>
          <w:rFonts w:cs="Arial"/>
          <w:i/>
          <w:sz w:val="20"/>
          <w:szCs w:val="20"/>
        </w:rPr>
        <w:t>AFDC 2013, Durbin 2013, LMC Automotive 2013, Mock 2012, and Perkowski 2012</w:t>
      </w:r>
      <w:bookmarkStart w:id="57" w:name="_Toc352249440"/>
    </w:p>
    <w:p w:rsidR="00F67037" w:rsidRPr="00825A8F" w:rsidRDefault="005F35F9" w:rsidP="00984B07">
      <w:pPr>
        <w:pStyle w:val="Caption"/>
        <w:keepNext/>
        <w:spacing w:after="60" w:line="276" w:lineRule="auto"/>
        <w:rPr>
          <w:rFonts w:cs="Arial"/>
          <w:color w:val="auto"/>
          <w:sz w:val="20"/>
          <w:szCs w:val="24"/>
        </w:rPr>
      </w:pPr>
      <w:r w:rsidRPr="00825A8F">
        <w:rPr>
          <w:rFonts w:cs="Arial"/>
          <w:color w:val="auto"/>
          <w:sz w:val="20"/>
          <w:szCs w:val="24"/>
        </w:rPr>
        <w:t xml:space="preserve">Figure </w:t>
      </w:r>
      <w:r w:rsidRPr="00825A8F">
        <w:rPr>
          <w:rFonts w:cs="Arial"/>
          <w:color w:val="auto"/>
          <w:sz w:val="20"/>
          <w:szCs w:val="24"/>
        </w:rPr>
        <w:fldChar w:fldCharType="begin"/>
      </w:r>
      <w:r w:rsidRPr="00825A8F">
        <w:rPr>
          <w:rFonts w:cs="Arial"/>
          <w:color w:val="auto"/>
          <w:sz w:val="20"/>
          <w:szCs w:val="24"/>
        </w:rPr>
        <w:instrText xml:space="preserve"> SEQ Figure \* ARABIC </w:instrText>
      </w:r>
      <w:r w:rsidRPr="00825A8F">
        <w:rPr>
          <w:rFonts w:cs="Arial"/>
          <w:color w:val="auto"/>
          <w:sz w:val="20"/>
          <w:szCs w:val="24"/>
        </w:rPr>
        <w:fldChar w:fldCharType="separate"/>
      </w:r>
      <w:r w:rsidR="00E01A3B">
        <w:rPr>
          <w:rFonts w:cs="Arial"/>
          <w:noProof/>
          <w:color w:val="auto"/>
          <w:sz w:val="20"/>
          <w:szCs w:val="24"/>
        </w:rPr>
        <w:t>5</w:t>
      </w:r>
      <w:r w:rsidRPr="00825A8F">
        <w:rPr>
          <w:rFonts w:cs="Arial"/>
          <w:color w:val="auto"/>
          <w:sz w:val="20"/>
          <w:szCs w:val="24"/>
        </w:rPr>
        <w:fldChar w:fldCharType="end"/>
      </w:r>
      <w:r w:rsidRPr="00825A8F">
        <w:rPr>
          <w:rFonts w:cs="Arial"/>
          <w:color w:val="auto"/>
          <w:sz w:val="20"/>
          <w:szCs w:val="24"/>
        </w:rPr>
        <w:t>: AFV Sales for China from 2001-2030 by Fuel Type</w:t>
      </w:r>
      <w:bookmarkEnd w:id="57"/>
    </w:p>
    <w:p w:rsidR="009444F6" w:rsidRPr="008720F3" w:rsidRDefault="003A7D62" w:rsidP="009444F6">
      <w:pPr>
        <w:rPr>
          <w:rFonts w:cs="Arial"/>
          <w:i/>
          <w:sz w:val="20"/>
          <w:szCs w:val="20"/>
        </w:rPr>
      </w:pPr>
      <w:r w:rsidRPr="008720F3">
        <w:rPr>
          <w:rFonts w:cs="Arial"/>
          <w:noProof/>
          <w:sz w:val="24"/>
          <w:szCs w:val="24"/>
        </w:rPr>
        <w:drawing>
          <wp:inline distT="0" distB="0" distL="0" distR="0" wp14:anchorId="42A15EFF" wp14:editId="43C63F18">
            <wp:extent cx="5931797" cy="2202180"/>
            <wp:effectExtent l="19050" t="19050" r="12065" b="266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TUS\CAR Files\RES-SEDS-HILL\Alternative Fuel Vehicle Infrastructure\Figures for Consideration\China Graph.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931797" cy="2202180"/>
                    </a:xfrm>
                    <a:prstGeom prst="rect">
                      <a:avLst/>
                    </a:prstGeom>
                    <a:noFill/>
                    <a:ln>
                      <a:solidFill>
                        <a:schemeClr val="tx1"/>
                      </a:solidFill>
                    </a:ln>
                  </pic:spPr>
                </pic:pic>
              </a:graphicData>
            </a:graphic>
          </wp:inline>
        </w:drawing>
      </w:r>
      <w:r w:rsidR="009444F6" w:rsidRPr="008720F3">
        <w:rPr>
          <w:rFonts w:cs="Arial"/>
          <w:i/>
          <w:sz w:val="20"/>
          <w:szCs w:val="20"/>
        </w:rPr>
        <w:t>Sources:</w:t>
      </w:r>
      <w:r w:rsidR="009444F6" w:rsidRPr="008720F3">
        <w:t xml:space="preserve"> </w:t>
      </w:r>
      <w:r w:rsidR="009444F6" w:rsidRPr="008720F3">
        <w:rPr>
          <w:rFonts w:cs="Arial"/>
          <w:i/>
          <w:sz w:val="20"/>
          <w:szCs w:val="20"/>
        </w:rPr>
        <w:t>AFDC 2013, Durbin 2013, LMC Automotive 2013, Mock 2012, and Perkowski 2012</w:t>
      </w:r>
    </w:p>
    <w:p w:rsidR="00523419" w:rsidRDefault="00523419">
      <w:pPr>
        <w:rPr>
          <w:rFonts w:cs="Arial"/>
          <w:b/>
          <w:bCs/>
          <w:sz w:val="20"/>
          <w:szCs w:val="24"/>
        </w:rPr>
      </w:pPr>
      <w:bookmarkStart w:id="58" w:name="_Toc352249448"/>
      <w:r>
        <w:rPr>
          <w:rFonts w:cs="Arial"/>
          <w:sz w:val="20"/>
          <w:szCs w:val="24"/>
        </w:rPr>
        <w:br w:type="page"/>
      </w:r>
    </w:p>
    <w:p w:rsidR="00473E40" w:rsidRPr="00825A8F" w:rsidRDefault="0008106C" w:rsidP="00984B07">
      <w:pPr>
        <w:pStyle w:val="Caption"/>
        <w:keepNext/>
        <w:spacing w:after="60" w:line="276" w:lineRule="auto"/>
        <w:rPr>
          <w:rFonts w:cs="Arial"/>
          <w:color w:val="auto"/>
          <w:sz w:val="20"/>
          <w:szCs w:val="24"/>
        </w:rPr>
      </w:pPr>
      <w:r w:rsidRPr="00825A8F">
        <w:rPr>
          <w:rFonts w:cs="Arial"/>
          <w:color w:val="auto"/>
          <w:sz w:val="20"/>
          <w:szCs w:val="24"/>
        </w:rPr>
        <w:lastRenderedPageBreak/>
        <w:t xml:space="preserve">Table </w:t>
      </w:r>
      <w:r w:rsidRPr="00825A8F">
        <w:rPr>
          <w:rFonts w:cs="Arial"/>
          <w:color w:val="auto"/>
          <w:sz w:val="20"/>
          <w:szCs w:val="24"/>
        </w:rPr>
        <w:fldChar w:fldCharType="begin"/>
      </w:r>
      <w:r w:rsidRPr="00825A8F">
        <w:rPr>
          <w:rFonts w:cs="Arial"/>
          <w:color w:val="auto"/>
          <w:sz w:val="20"/>
          <w:szCs w:val="24"/>
        </w:rPr>
        <w:instrText xml:space="preserve"> SEQ Table \* ARABIC </w:instrText>
      </w:r>
      <w:r w:rsidRPr="00825A8F">
        <w:rPr>
          <w:rFonts w:cs="Arial"/>
          <w:color w:val="auto"/>
          <w:sz w:val="20"/>
          <w:szCs w:val="24"/>
        </w:rPr>
        <w:fldChar w:fldCharType="separate"/>
      </w:r>
      <w:r w:rsidR="00E01A3B">
        <w:rPr>
          <w:rFonts w:cs="Arial"/>
          <w:noProof/>
          <w:color w:val="auto"/>
          <w:sz w:val="20"/>
          <w:szCs w:val="24"/>
        </w:rPr>
        <w:t>8</w:t>
      </w:r>
      <w:r w:rsidRPr="00825A8F">
        <w:rPr>
          <w:rFonts w:cs="Arial"/>
          <w:color w:val="auto"/>
          <w:sz w:val="20"/>
          <w:szCs w:val="24"/>
        </w:rPr>
        <w:fldChar w:fldCharType="end"/>
      </w:r>
      <w:r w:rsidRPr="00825A8F">
        <w:rPr>
          <w:rFonts w:cs="Arial"/>
          <w:color w:val="auto"/>
          <w:sz w:val="20"/>
          <w:szCs w:val="24"/>
        </w:rPr>
        <w:t xml:space="preserve">: </w:t>
      </w:r>
      <w:r w:rsidR="001B3858" w:rsidRPr="00825A8F">
        <w:rPr>
          <w:rFonts w:cs="Arial"/>
          <w:color w:val="auto"/>
          <w:sz w:val="20"/>
          <w:szCs w:val="24"/>
        </w:rPr>
        <w:t>Total AFVs in Operation</w:t>
      </w:r>
      <w:r w:rsidR="00473E40" w:rsidRPr="00825A8F">
        <w:rPr>
          <w:rFonts w:cs="Arial"/>
          <w:color w:val="auto"/>
          <w:sz w:val="20"/>
          <w:szCs w:val="24"/>
        </w:rPr>
        <w:t xml:space="preserve"> in 2030 by Fuel Type by Country</w:t>
      </w:r>
      <w:bookmarkEnd w:id="58"/>
    </w:p>
    <w:tbl>
      <w:tblPr>
        <w:tblW w:w="7747" w:type="dxa"/>
        <w:tblInd w:w="101" w:type="dxa"/>
        <w:tblLayout w:type="fixed"/>
        <w:tblCellMar>
          <w:left w:w="115" w:type="dxa"/>
          <w:right w:w="115" w:type="dxa"/>
        </w:tblCellMar>
        <w:tblLook w:val="04A0" w:firstRow="1" w:lastRow="0" w:firstColumn="1" w:lastColumn="0" w:noHBand="0" w:noVBand="1"/>
      </w:tblPr>
      <w:tblGrid>
        <w:gridCol w:w="2977"/>
        <w:gridCol w:w="1590"/>
        <w:gridCol w:w="1590"/>
        <w:gridCol w:w="1590"/>
      </w:tblGrid>
      <w:tr w:rsidR="00473E40" w:rsidRPr="008720F3" w:rsidTr="005E2F3F">
        <w:trPr>
          <w:cantSplit/>
          <w:trHeight w:hRule="exact" w:val="317"/>
        </w:trPr>
        <w:tc>
          <w:tcPr>
            <w:tcW w:w="2977" w:type="dxa"/>
            <w:tcBorders>
              <w:top w:val="single" w:sz="4" w:space="0" w:color="auto"/>
              <w:left w:val="single" w:sz="4" w:space="0" w:color="auto"/>
              <w:bottom w:val="single" w:sz="4" w:space="0" w:color="auto"/>
              <w:right w:val="nil"/>
            </w:tcBorders>
            <w:shd w:val="clear" w:color="auto" w:fill="auto"/>
            <w:noWrap/>
            <w:vAlign w:val="center"/>
            <w:hideMark/>
          </w:tcPr>
          <w:p w:rsidR="00473E40" w:rsidRPr="008720F3" w:rsidRDefault="00473E40" w:rsidP="005E2F3F">
            <w:pPr>
              <w:spacing w:after="0" w:line="240" w:lineRule="auto"/>
              <w:rPr>
                <w:rFonts w:eastAsia="Times New Roman" w:cs="Arial"/>
                <w:b/>
                <w:bCs/>
                <w:sz w:val="20"/>
                <w:szCs w:val="20"/>
              </w:rPr>
            </w:pPr>
            <w:r w:rsidRPr="008720F3">
              <w:rPr>
                <w:rFonts w:eastAsia="Times New Roman" w:cs="Arial"/>
                <w:b/>
                <w:bCs/>
                <w:sz w:val="20"/>
                <w:szCs w:val="20"/>
              </w:rPr>
              <w:t>Fuel Type</w:t>
            </w:r>
          </w:p>
        </w:tc>
        <w:tc>
          <w:tcPr>
            <w:tcW w:w="1590" w:type="dxa"/>
            <w:tcBorders>
              <w:top w:val="single" w:sz="4" w:space="0" w:color="auto"/>
              <w:left w:val="nil"/>
              <w:bottom w:val="single" w:sz="4" w:space="0" w:color="auto"/>
              <w:right w:val="nil"/>
            </w:tcBorders>
            <w:shd w:val="clear" w:color="auto" w:fill="auto"/>
            <w:noWrap/>
            <w:vAlign w:val="center"/>
            <w:hideMark/>
          </w:tcPr>
          <w:p w:rsidR="00473E40" w:rsidRPr="008720F3" w:rsidRDefault="00473E40" w:rsidP="005E2F3F">
            <w:pPr>
              <w:spacing w:after="0" w:line="240" w:lineRule="auto"/>
              <w:jc w:val="center"/>
              <w:rPr>
                <w:rFonts w:eastAsia="Times New Roman" w:cs="Arial"/>
                <w:b/>
                <w:bCs/>
                <w:sz w:val="20"/>
                <w:szCs w:val="20"/>
              </w:rPr>
            </w:pPr>
            <w:r w:rsidRPr="008720F3">
              <w:rPr>
                <w:rFonts w:eastAsia="Times New Roman" w:cs="Arial"/>
                <w:b/>
                <w:bCs/>
                <w:sz w:val="20"/>
                <w:szCs w:val="20"/>
              </w:rPr>
              <w:t>Europe</w:t>
            </w:r>
          </w:p>
        </w:tc>
        <w:tc>
          <w:tcPr>
            <w:tcW w:w="1590" w:type="dxa"/>
            <w:tcBorders>
              <w:top w:val="single" w:sz="4" w:space="0" w:color="auto"/>
              <w:left w:val="nil"/>
              <w:bottom w:val="single" w:sz="4" w:space="0" w:color="auto"/>
              <w:right w:val="nil"/>
            </w:tcBorders>
            <w:shd w:val="clear" w:color="auto" w:fill="auto"/>
            <w:noWrap/>
            <w:vAlign w:val="center"/>
            <w:hideMark/>
          </w:tcPr>
          <w:p w:rsidR="00473E40" w:rsidRPr="008720F3" w:rsidRDefault="00473E40" w:rsidP="005E2F3F">
            <w:pPr>
              <w:spacing w:after="0" w:line="240" w:lineRule="auto"/>
              <w:jc w:val="center"/>
              <w:rPr>
                <w:rFonts w:eastAsia="Times New Roman" w:cs="Arial"/>
                <w:b/>
                <w:bCs/>
                <w:sz w:val="20"/>
                <w:szCs w:val="20"/>
              </w:rPr>
            </w:pPr>
            <w:r w:rsidRPr="008720F3">
              <w:rPr>
                <w:rFonts w:eastAsia="Times New Roman" w:cs="Arial"/>
                <w:b/>
                <w:bCs/>
                <w:sz w:val="20"/>
                <w:szCs w:val="20"/>
              </w:rPr>
              <w:t>United States</w:t>
            </w:r>
          </w:p>
        </w:tc>
        <w:tc>
          <w:tcPr>
            <w:tcW w:w="1590" w:type="dxa"/>
            <w:tcBorders>
              <w:top w:val="single" w:sz="4" w:space="0" w:color="auto"/>
              <w:left w:val="nil"/>
              <w:bottom w:val="single" w:sz="4" w:space="0" w:color="auto"/>
              <w:right w:val="single" w:sz="4" w:space="0" w:color="auto"/>
            </w:tcBorders>
            <w:shd w:val="clear" w:color="auto" w:fill="auto"/>
            <w:noWrap/>
            <w:vAlign w:val="center"/>
            <w:hideMark/>
          </w:tcPr>
          <w:p w:rsidR="00473E40" w:rsidRPr="008720F3" w:rsidRDefault="00473E40" w:rsidP="005E2F3F">
            <w:pPr>
              <w:spacing w:after="0" w:line="240" w:lineRule="auto"/>
              <w:jc w:val="center"/>
              <w:rPr>
                <w:rFonts w:eastAsia="Times New Roman" w:cs="Arial"/>
                <w:b/>
                <w:bCs/>
                <w:sz w:val="20"/>
                <w:szCs w:val="20"/>
              </w:rPr>
            </w:pPr>
            <w:r w:rsidRPr="008720F3">
              <w:rPr>
                <w:rFonts w:eastAsia="Times New Roman" w:cs="Arial"/>
                <w:b/>
                <w:bCs/>
                <w:sz w:val="20"/>
                <w:szCs w:val="20"/>
              </w:rPr>
              <w:t>China</w:t>
            </w:r>
          </w:p>
        </w:tc>
      </w:tr>
      <w:tr w:rsidR="008D4548" w:rsidRPr="008720F3" w:rsidTr="005E2F3F">
        <w:trPr>
          <w:cantSplit/>
          <w:trHeight w:hRule="exact" w:val="317"/>
        </w:trPr>
        <w:tc>
          <w:tcPr>
            <w:tcW w:w="2977" w:type="dxa"/>
            <w:tcBorders>
              <w:top w:val="nil"/>
              <w:left w:val="single" w:sz="4" w:space="0" w:color="auto"/>
              <w:bottom w:val="nil"/>
              <w:right w:val="nil"/>
            </w:tcBorders>
            <w:shd w:val="clear" w:color="auto" w:fill="auto"/>
            <w:noWrap/>
            <w:vAlign w:val="center"/>
            <w:hideMark/>
          </w:tcPr>
          <w:p w:rsidR="008D4548" w:rsidRPr="008720F3" w:rsidRDefault="008D4548" w:rsidP="005E2F3F">
            <w:pPr>
              <w:spacing w:after="0" w:line="240" w:lineRule="auto"/>
              <w:rPr>
                <w:rFonts w:eastAsia="Times New Roman" w:cs="Arial"/>
                <w:sz w:val="20"/>
                <w:szCs w:val="24"/>
              </w:rPr>
            </w:pPr>
            <w:r w:rsidRPr="008720F3">
              <w:rPr>
                <w:rFonts w:eastAsia="Times New Roman" w:cs="Arial"/>
                <w:sz w:val="20"/>
                <w:szCs w:val="24"/>
              </w:rPr>
              <w:t>Natural Gas (</w:t>
            </w:r>
            <w:r w:rsidR="00E544B0" w:rsidRPr="008720F3">
              <w:rPr>
                <w:rFonts w:eastAsia="Times New Roman" w:cs="Arial"/>
                <w:sz w:val="20"/>
                <w:szCs w:val="24"/>
              </w:rPr>
              <w:t>CNG</w:t>
            </w:r>
            <w:r w:rsidRPr="008720F3">
              <w:rPr>
                <w:rFonts w:eastAsia="Times New Roman" w:cs="Arial"/>
                <w:sz w:val="20"/>
                <w:szCs w:val="24"/>
              </w:rPr>
              <w:t>)</w:t>
            </w:r>
          </w:p>
        </w:tc>
        <w:tc>
          <w:tcPr>
            <w:tcW w:w="1590" w:type="dxa"/>
            <w:tcBorders>
              <w:top w:val="nil"/>
              <w:left w:val="nil"/>
              <w:bottom w:val="nil"/>
              <w:right w:val="nil"/>
            </w:tcBorders>
            <w:shd w:val="clear" w:color="auto" w:fill="auto"/>
            <w:noWrap/>
            <w:vAlign w:val="center"/>
            <w:hideMark/>
          </w:tcPr>
          <w:p w:rsidR="008D4548" w:rsidRPr="008720F3" w:rsidRDefault="008D4548" w:rsidP="005E2F3F">
            <w:pPr>
              <w:spacing w:after="0" w:line="240" w:lineRule="auto"/>
              <w:jc w:val="right"/>
              <w:rPr>
                <w:rFonts w:eastAsia="Times New Roman" w:cs="Arial"/>
                <w:sz w:val="20"/>
                <w:szCs w:val="20"/>
              </w:rPr>
            </w:pPr>
            <w:r w:rsidRPr="008720F3">
              <w:rPr>
                <w:rFonts w:eastAsia="Times New Roman" w:cs="Arial"/>
                <w:sz w:val="20"/>
                <w:szCs w:val="20"/>
              </w:rPr>
              <w:t xml:space="preserve"> 1</w:t>
            </w:r>
            <w:r w:rsidR="00D71949" w:rsidRPr="008720F3">
              <w:rPr>
                <w:rFonts w:eastAsia="Times New Roman" w:cs="Arial"/>
                <w:sz w:val="20"/>
                <w:szCs w:val="20"/>
              </w:rPr>
              <w:t>1,000,000</w:t>
            </w:r>
            <w:r w:rsidRPr="008720F3">
              <w:rPr>
                <w:rFonts w:eastAsia="Times New Roman" w:cs="Arial"/>
                <w:sz w:val="20"/>
                <w:szCs w:val="20"/>
              </w:rPr>
              <w:t xml:space="preserve"> </w:t>
            </w:r>
          </w:p>
        </w:tc>
        <w:tc>
          <w:tcPr>
            <w:tcW w:w="1590" w:type="dxa"/>
            <w:tcBorders>
              <w:top w:val="nil"/>
              <w:left w:val="nil"/>
              <w:bottom w:val="nil"/>
              <w:right w:val="nil"/>
            </w:tcBorders>
            <w:shd w:val="clear" w:color="auto" w:fill="auto"/>
            <w:noWrap/>
            <w:vAlign w:val="center"/>
            <w:hideMark/>
          </w:tcPr>
          <w:p w:rsidR="008D4548" w:rsidRPr="008720F3" w:rsidRDefault="008D4548" w:rsidP="00D71949">
            <w:pPr>
              <w:spacing w:after="0" w:line="240" w:lineRule="auto"/>
              <w:jc w:val="right"/>
              <w:rPr>
                <w:rFonts w:eastAsia="Times New Roman" w:cs="Arial"/>
                <w:sz w:val="20"/>
                <w:szCs w:val="20"/>
              </w:rPr>
            </w:pPr>
            <w:r w:rsidRPr="008720F3">
              <w:rPr>
                <w:rFonts w:eastAsia="Times New Roman" w:cs="Arial"/>
                <w:sz w:val="20"/>
                <w:szCs w:val="20"/>
              </w:rPr>
              <w:t xml:space="preserve"> </w:t>
            </w:r>
            <w:r w:rsidR="00D71949" w:rsidRPr="008720F3">
              <w:rPr>
                <w:rFonts w:eastAsia="Times New Roman" w:cs="Arial"/>
                <w:sz w:val="20"/>
                <w:szCs w:val="20"/>
              </w:rPr>
              <w:t>740</w:t>
            </w:r>
            <w:r w:rsidRPr="008720F3">
              <w:rPr>
                <w:rFonts w:eastAsia="Times New Roman" w:cs="Arial"/>
                <w:sz w:val="20"/>
                <w:szCs w:val="20"/>
              </w:rPr>
              <w:t>,</w:t>
            </w:r>
            <w:r w:rsidR="00D71949" w:rsidRPr="008720F3">
              <w:rPr>
                <w:rFonts w:eastAsia="Times New Roman" w:cs="Arial"/>
                <w:sz w:val="20"/>
                <w:szCs w:val="20"/>
              </w:rPr>
              <w:t>000</w:t>
            </w:r>
            <w:r w:rsidRPr="008720F3">
              <w:rPr>
                <w:rFonts w:eastAsia="Times New Roman" w:cs="Arial"/>
                <w:sz w:val="20"/>
                <w:szCs w:val="20"/>
              </w:rPr>
              <w:t xml:space="preserve"> </w:t>
            </w:r>
          </w:p>
        </w:tc>
        <w:tc>
          <w:tcPr>
            <w:tcW w:w="1590" w:type="dxa"/>
            <w:tcBorders>
              <w:top w:val="nil"/>
              <w:left w:val="nil"/>
              <w:bottom w:val="nil"/>
              <w:right w:val="single" w:sz="4" w:space="0" w:color="auto"/>
            </w:tcBorders>
            <w:shd w:val="clear" w:color="auto" w:fill="auto"/>
            <w:noWrap/>
            <w:vAlign w:val="center"/>
            <w:hideMark/>
          </w:tcPr>
          <w:p w:rsidR="008D4548" w:rsidRPr="008720F3" w:rsidRDefault="008D4548" w:rsidP="005E2F3F">
            <w:pPr>
              <w:spacing w:after="0" w:line="240" w:lineRule="auto"/>
              <w:jc w:val="right"/>
              <w:rPr>
                <w:rFonts w:eastAsia="Times New Roman" w:cs="Arial"/>
                <w:sz w:val="20"/>
                <w:szCs w:val="20"/>
              </w:rPr>
            </w:pPr>
            <w:r w:rsidRPr="008720F3">
              <w:rPr>
                <w:rFonts w:eastAsia="Times New Roman" w:cs="Arial"/>
                <w:sz w:val="20"/>
                <w:szCs w:val="20"/>
              </w:rPr>
              <w:t xml:space="preserve"> </w:t>
            </w:r>
            <w:r w:rsidR="00D71949" w:rsidRPr="008720F3">
              <w:rPr>
                <w:rFonts w:eastAsia="Times New Roman" w:cs="Arial"/>
                <w:sz w:val="20"/>
                <w:szCs w:val="20"/>
              </w:rPr>
              <w:t>5,300,000</w:t>
            </w:r>
            <w:r w:rsidRPr="008720F3">
              <w:rPr>
                <w:rFonts w:eastAsia="Times New Roman" w:cs="Arial"/>
                <w:sz w:val="20"/>
                <w:szCs w:val="20"/>
              </w:rPr>
              <w:t xml:space="preserve"> </w:t>
            </w:r>
          </w:p>
        </w:tc>
      </w:tr>
      <w:tr w:rsidR="008D4548" w:rsidRPr="008720F3" w:rsidTr="005E2F3F">
        <w:trPr>
          <w:cantSplit/>
          <w:trHeight w:hRule="exact" w:val="317"/>
        </w:trPr>
        <w:tc>
          <w:tcPr>
            <w:tcW w:w="2977" w:type="dxa"/>
            <w:tcBorders>
              <w:top w:val="nil"/>
              <w:left w:val="single" w:sz="4" w:space="0" w:color="auto"/>
              <w:bottom w:val="nil"/>
              <w:right w:val="nil"/>
            </w:tcBorders>
            <w:shd w:val="clear" w:color="auto" w:fill="auto"/>
            <w:noWrap/>
            <w:vAlign w:val="center"/>
            <w:hideMark/>
          </w:tcPr>
          <w:p w:rsidR="008D4548" w:rsidRPr="008720F3" w:rsidRDefault="008D4548" w:rsidP="005E2F3F">
            <w:pPr>
              <w:spacing w:after="0" w:line="240" w:lineRule="auto"/>
              <w:rPr>
                <w:rFonts w:eastAsia="Times New Roman" w:cs="Arial"/>
                <w:sz w:val="20"/>
                <w:szCs w:val="24"/>
              </w:rPr>
            </w:pPr>
            <w:r w:rsidRPr="008720F3">
              <w:rPr>
                <w:rFonts w:eastAsia="Times New Roman" w:cs="Arial"/>
                <w:sz w:val="20"/>
                <w:szCs w:val="24"/>
              </w:rPr>
              <w:t>Flex-Fuel (E85)</w:t>
            </w:r>
          </w:p>
        </w:tc>
        <w:tc>
          <w:tcPr>
            <w:tcW w:w="1590" w:type="dxa"/>
            <w:tcBorders>
              <w:top w:val="nil"/>
              <w:left w:val="nil"/>
              <w:bottom w:val="nil"/>
              <w:right w:val="nil"/>
            </w:tcBorders>
            <w:shd w:val="clear" w:color="auto" w:fill="auto"/>
            <w:noWrap/>
            <w:vAlign w:val="center"/>
            <w:hideMark/>
          </w:tcPr>
          <w:p w:rsidR="008D4548" w:rsidRPr="008720F3" w:rsidRDefault="008D4548" w:rsidP="005E2F3F">
            <w:pPr>
              <w:spacing w:after="0" w:line="240" w:lineRule="auto"/>
              <w:jc w:val="right"/>
              <w:rPr>
                <w:rFonts w:eastAsia="Times New Roman" w:cs="Arial"/>
                <w:sz w:val="20"/>
                <w:szCs w:val="20"/>
              </w:rPr>
            </w:pPr>
            <w:r w:rsidRPr="008720F3">
              <w:rPr>
                <w:rFonts w:eastAsia="Times New Roman" w:cs="Arial"/>
                <w:sz w:val="20"/>
                <w:szCs w:val="20"/>
              </w:rPr>
              <w:t xml:space="preserve"> </w:t>
            </w:r>
            <w:r w:rsidR="00D71949" w:rsidRPr="008720F3">
              <w:rPr>
                <w:rFonts w:eastAsia="Times New Roman" w:cs="Arial"/>
                <w:sz w:val="20"/>
                <w:szCs w:val="20"/>
              </w:rPr>
              <w:t>1,600,000</w:t>
            </w:r>
            <w:r w:rsidRPr="008720F3">
              <w:rPr>
                <w:rFonts w:eastAsia="Times New Roman" w:cs="Arial"/>
                <w:sz w:val="20"/>
                <w:szCs w:val="20"/>
              </w:rPr>
              <w:t xml:space="preserve"> </w:t>
            </w:r>
          </w:p>
        </w:tc>
        <w:tc>
          <w:tcPr>
            <w:tcW w:w="1590" w:type="dxa"/>
            <w:tcBorders>
              <w:top w:val="nil"/>
              <w:left w:val="nil"/>
              <w:bottom w:val="nil"/>
              <w:right w:val="nil"/>
            </w:tcBorders>
            <w:shd w:val="clear" w:color="auto" w:fill="auto"/>
            <w:noWrap/>
            <w:vAlign w:val="center"/>
            <w:hideMark/>
          </w:tcPr>
          <w:p w:rsidR="008D4548" w:rsidRPr="008720F3" w:rsidRDefault="008D4548" w:rsidP="005E2F3F">
            <w:pPr>
              <w:spacing w:after="0" w:line="240" w:lineRule="auto"/>
              <w:jc w:val="right"/>
              <w:rPr>
                <w:rFonts w:eastAsia="Times New Roman" w:cs="Arial"/>
                <w:sz w:val="20"/>
                <w:szCs w:val="20"/>
              </w:rPr>
            </w:pPr>
            <w:r w:rsidRPr="008720F3">
              <w:rPr>
                <w:rFonts w:eastAsia="Times New Roman" w:cs="Arial"/>
                <w:sz w:val="20"/>
                <w:szCs w:val="20"/>
              </w:rPr>
              <w:t xml:space="preserve"> </w:t>
            </w:r>
            <w:r w:rsidR="00D71949" w:rsidRPr="008720F3">
              <w:rPr>
                <w:rFonts w:eastAsia="Times New Roman" w:cs="Arial"/>
                <w:sz w:val="20"/>
                <w:szCs w:val="20"/>
              </w:rPr>
              <w:t>30,000,000</w:t>
            </w:r>
            <w:r w:rsidRPr="008720F3">
              <w:rPr>
                <w:rFonts w:eastAsia="Times New Roman" w:cs="Arial"/>
                <w:sz w:val="20"/>
                <w:szCs w:val="20"/>
              </w:rPr>
              <w:t xml:space="preserve"> </w:t>
            </w:r>
          </w:p>
        </w:tc>
        <w:tc>
          <w:tcPr>
            <w:tcW w:w="1590" w:type="dxa"/>
            <w:tcBorders>
              <w:top w:val="nil"/>
              <w:left w:val="nil"/>
              <w:bottom w:val="nil"/>
              <w:right w:val="single" w:sz="4" w:space="0" w:color="auto"/>
            </w:tcBorders>
            <w:shd w:val="clear" w:color="auto" w:fill="auto"/>
            <w:noWrap/>
            <w:vAlign w:val="center"/>
            <w:hideMark/>
          </w:tcPr>
          <w:p w:rsidR="008D4548" w:rsidRPr="008720F3" w:rsidRDefault="008D4548" w:rsidP="005E2F3F">
            <w:pPr>
              <w:spacing w:after="0" w:line="240" w:lineRule="auto"/>
              <w:jc w:val="right"/>
              <w:rPr>
                <w:rFonts w:eastAsia="Times New Roman" w:cs="Arial"/>
                <w:sz w:val="20"/>
                <w:szCs w:val="20"/>
              </w:rPr>
            </w:pPr>
            <w:r w:rsidRPr="008720F3">
              <w:rPr>
                <w:rFonts w:eastAsia="Times New Roman" w:cs="Arial"/>
                <w:sz w:val="20"/>
                <w:szCs w:val="20"/>
              </w:rPr>
              <w:t xml:space="preserve"> - </w:t>
            </w:r>
          </w:p>
        </w:tc>
      </w:tr>
      <w:tr w:rsidR="008D4548" w:rsidRPr="008720F3" w:rsidTr="005E2F3F">
        <w:trPr>
          <w:cantSplit/>
          <w:trHeight w:hRule="exact" w:val="317"/>
        </w:trPr>
        <w:tc>
          <w:tcPr>
            <w:tcW w:w="2977" w:type="dxa"/>
            <w:tcBorders>
              <w:top w:val="nil"/>
              <w:left w:val="single" w:sz="4" w:space="0" w:color="auto"/>
              <w:bottom w:val="nil"/>
              <w:right w:val="nil"/>
            </w:tcBorders>
            <w:shd w:val="clear" w:color="auto" w:fill="auto"/>
            <w:noWrap/>
            <w:vAlign w:val="center"/>
            <w:hideMark/>
          </w:tcPr>
          <w:p w:rsidR="008D4548" w:rsidRPr="008720F3" w:rsidRDefault="008D4548" w:rsidP="005E2F3F">
            <w:pPr>
              <w:spacing w:after="0" w:line="240" w:lineRule="auto"/>
              <w:rPr>
                <w:rFonts w:eastAsia="Times New Roman" w:cs="Arial"/>
                <w:sz w:val="20"/>
                <w:szCs w:val="24"/>
              </w:rPr>
            </w:pPr>
            <w:r w:rsidRPr="008720F3">
              <w:rPr>
                <w:rFonts w:eastAsia="Times New Roman" w:cs="Arial"/>
                <w:sz w:val="20"/>
                <w:szCs w:val="24"/>
              </w:rPr>
              <w:t>Plug-in Electric (BEV &amp; PHEV)</w:t>
            </w:r>
          </w:p>
        </w:tc>
        <w:tc>
          <w:tcPr>
            <w:tcW w:w="1590" w:type="dxa"/>
            <w:tcBorders>
              <w:top w:val="nil"/>
              <w:left w:val="nil"/>
              <w:bottom w:val="nil"/>
              <w:right w:val="nil"/>
            </w:tcBorders>
            <w:shd w:val="clear" w:color="auto" w:fill="auto"/>
            <w:noWrap/>
            <w:vAlign w:val="center"/>
            <w:hideMark/>
          </w:tcPr>
          <w:p w:rsidR="008D4548" w:rsidRPr="008720F3" w:rsidRDefault="008D4548" w:rsidP="005E2F3F">
            <w:pPr>
              <w:spacing w:after="0" w:line="240" w:lineRule="auto"/>
              <w:jc w:val="right"/>
              <w:rPr>
                <w:rFonts w:eastAsia="Times New Roman" w:cs="Arial"/>
                <w:sz w:val="20"/>
                <w:szCs w:val="20"/>
              </w:rPr>
            </w:pPr>
            <w:r w:rsidRPr="008720F3">
              <w:rPr>
                <w:rFonts w:eastAsia="Times New Roman" w:cs="Arial"/>
                <w:sz w:val="20"/>
                <w:szCs w:val="20"/>
              </w:rPr>
              <w:t xml:space="preserve"> </w:t>
            </w:r>
            <w:r w:rsidR="00D71949" w:rsidRPr="008720F3">
              <w:rPr>
                <w:rFonts w:eastAsia="Times New Roman" w:cs="Arial"/>
                <w:sz w:val="20"/>
                <w:szCs w:val="20"/>
              </w:rPr>
              <w:t>11,000,000</w:t>
            </w:r>
            <w:r w:rsidRPr="008720F3">
              <w:rPr>
                <w:rFonts w:eastAsia="Times New Roman" w:cs="Arial"/>
                <w:sz w:val="20"/>
                <w:szCs w:val="20"/>
              </w:rPr>
              <w:t xml:space="preserve"> </w:t>
            </w:r>
          </w:p>
        </w:tc>
        <w:tc>
          <w:tcPr>
            <w:tcW w:w="1590" w:type="dxa"/>
            <w:tcBorders>
              <w:top w:val="nil"/>
              <w:left w:val="nil"/>
              <w:bottom w:val="nil"/>
              <w:right w:val="nil"/>
            </w:tcBorders>
            <w:shd w:val="clear" w:color="auto" w:fill="auto"/>
            <w:noWrap/>
            <w:vAlign w:val="center"/>
            <w:hideMark/>
          </w:tcPr>
          <w:p w:rsidR="008D4548" w:rsidRPr="008720F3" w:rsidRDefault="008D4548" w:rsidP="005E2F3F">
            <w:pPr>
              <w:spacing w:after="0" w:line="240" w:lineRule="auto"/>
              <w:jc w:val="right"/>
              <w:rPr>
                <w:rFonts w:eastAsia="Times New Roman" w:cs="Arial"/>
                <w:sz w:val="20"/>
                <w:szCs w:val="20"/>
              </w:rPr>
            </w:pPr>
            <w:r w:rsidRPr="008720F3">
              <w:rPr>
                <w:rFonts w:eastAsia="Times New Roman" w:cs="Arial"/>
                <w:sz w:val="20"/>
                <w:szCs w:val="20"/>
              </w:rPr>
              <w:t xml:space="preserve"> </w:t>
            </w:r>
            <w:r w:rsidR="00D71949" w:rsidRPr="008720F3">
              <w:rPr>
                <w:rFonts w:eastAsia="Times New Roman" w:cs="Arial"/>
                <w:sz w:val="20"/>
                <w:szCs w:val="20"/>
              </w:rPr>
              <w:t>4,700,00</w:t>
            </w:r>
            <w:r w:rsidRPr="008720F3">
              <w:rPr>
                <w:rFonts w:eastAsia="Times New Roman" w:cs="Arial"/>
                <w:sz w:val="20"/>
                <w:szCs w:val="20"/>
              </w:rPr>
              <w:t xml:space="preserve">0 </w:t>
            </w:r>
          </w:p>
        </w:tc>
        <w:tc>
          <w:tcPr>
            <w:tcW w:w="1590" w:type="dxa"/>
            <w:tcBorders>
              <w:top w:val="nil"/>
              <w:left w:val="nil"/>
              <w:bottom w:val="nil"/>
              <w:right w:val="single" w:sz="4" w:space="0" w:color="auto"/>
            </w:tcBorders>
            <w:shd w:val="clear" w:color="auto" w:fill="auto"/>
            <w:noWrap/>
            <w:vAlign w:val="center"/>
            <w:hideMark/>
          </w:tcPr>
          <w:p w:rsidR="008D4548" w:rsidRPr="008720F3" w:rsidRDefault="00D71949" w:rsidP="005E2F3F">
            <w:pPr>
              <w:spacing w:after="0" w:line="240" w:lineRule="auto"/>
              <w:jc w:val="right"/>
              <w:rPr>
                <w:rFonts w:eastAsia="Times New Roman" w:cs="Arial"/>
                <w:sz w:val="20"/>
                <w:szCs w:val="20"/>
              </w:rPr>
            </w:pPr>
            <w:r w:rsidRPr="008720F3">
              <w:rPr>
                <w:rFonts w:eastAsia="Times New Roman" w:cs="Arial"/>
                <w:sz w:val="20"/>
                <w:szCs w:val="20"/>
              </w:rPr>
              <w:t>12,000,000</w:t>
            </w:r>
            <w:r w:rsidR="008D4548" w:rsidRPr="008720F3">
              <w:rPr>
                <w:rFonts w:eastAsia="Times New Roman" w:cs="Arial"/>
                <w:sz w:val="20"/>
                <w:szCs w:val="20"/>
              </w:rPr>
              <w:t xml:space="preserve"> </w:t>
            </w:r>
          </w:p>
        </w:tc>
      </w:tr>
      <w:tr w:rsidR="008D4548" w:rsidRPr="008720F3" w:rsidTr="005E2F3F">
        <w:trPr>
          <w:cantSplit/>
          <w:trHeight w:hRule="exact" w:val="317"/>
        </w:trPr>
        <w:tc>
          <w:tcPr>
            <w:tcW w:w="2977" w:type="dxa"/>
            <w:tcBorders>
              <w:top w:val="nil"/>
              <w:left w:val="single" w:sz="4" w:space="0" w:color="auto"/>
              <w:bottom w:val="nil"/>
              <w:right w:val="nil"/>
            </w:tcBorders>
            <w:shd w:val="clear" w:color="auto" w:fill="auto"/>
            <w:noWrap/>
            <w:vAlign w:val="center"/>
            <w:hideMark/>
          </w:tcPr>
          <w:p w:rsidR="008D4548" w:rsidRPr="008720F3" w:rsidRDefault="008D4548" w:rsidP="005E2F3F">
            <w:pPr>
              <w:spacing w:after="0" w:line="240" w:lineRule="auto"/>
              <w:rPr>
                <w:rFonts w:eastAsia="Times New Roman" w:cs="Arial"/>
                <w:sz w:val="20"/>
                <w:szCs w:val="24"/>
              </w:rPr>
            </w:pPr>
            <w:r w:rsidRPr="008720F3">
              <w:rPr>
                <w:rFonts w:eastAsia="Times New Roman" w:cs="Arial"/>
                <w:sz w:val="20"/>
                <w:szCs w:val="24"/>
              </w:rPr>
              <w:t>Hydrogen (Fuel Cell)</w:t>
            </w:r>
          </w:p>
        </w:tc>
        <w:tc>
          <w:tcPr>
            <w:tcW w:w="1590" w:type="dxa"/>
            <w:tcBorders>
              <w:top w:val="nil"/>
              <w:left w:val="nil"/>
              <w:bottom w:val="nil"/>
              <w:right w:val="nil"/>
            </w:tcBorders>
            <w:shd w:val="clear" w:color="auto" w:fill="auto"/>
            <w:noWrap/>
            <w:vAlign w:val="center"/>
            <w:hideMark/>
          </w:tcPr>
          <w:p w:rsidR="008D4548" w:rsidRPr="008720F3" w:rsidRDefault="008D4548" w:rsidP="005E2F3F">
            <w:pPr>
              <w:spacing w:after="0" w:line="240" w:lineRule="auto"/>
              <w:jc w:val="right"/>
              <w:rPr>
                <w:rFonts w:eastAsia="Times New Roman" w:cs="Arial"/>
                <w:sz w:val="20"/>
                <w:szCs w:val="20"/>
              </w:rPr>
            </w:pPr>
            <w:r w:rsidRPr="008720F3">
              <w:rPr>
                <w:rFonts w:eastAsia="Times New Roman" w:cs="Arial"/>
                <w:sz w:val="20"/>
                <w:szCs w:val="20"/>
              </w:rPr>
              <w:t xml:space="preserve"> </w:t>
            </w:r>
            <w:r w:rsidR="00D71949" w:rsidRPr="008720F3">
              <w:rPr>
                <w:rFonts w:eastAsia="Times New Roman" w:cs="Arial"/>
                <w:sz w:val="20"/>
                <w:szCs w:val="20"/>
              </w:rPr>
              <w:t>160,000</w:t>
            </w:r>
            <w:r w:rsidRPr="008720F3">
              <w:rPr>
                <w:rFonts w:eastAsia="Times New Roman" w:cs="Arial"/>
                <w:sz w:val="20"/>
                <w:szCs w:val="20"/>
              </w:rPr>
              <w:t xml:space="preserve"> </w:t>
            </w:r>
          </w:p>
        </w:tc>
        <w:tc>
          <w:tcPr>
            <w:tcW w:w="1590" w:type="dxa"/>
            <w:tcBorders>
              <w:top w:val="nil"/>
              <w:left w:val="nil"/>
              <w:bottom w:val="nil"/>
              <w:right w:val="nil"/>
            </w:tcBorders>
            <w:shd w:val="clear" w:color="auto" w:fill="auto"/>
            <w:noWrap/>
            <w:vAlign w:val="center"/>
            <w:hideMark/>
          </w:tcPr>
          <w:p w:rsidR="008D4548" w:rsidRPr="008720F3" w:rsidRDefault="008D4548" w:rsidP="005E2F3F">
            <w:pPr>
              <w:spacing w:after="0" w:line="240" w:lineRule="auto"/>
              <w:jc w:val="right"/>
              <w:rPr>
                <w:rFonts w:eastAsia="Times New Roman" w:cs="Arial"/>
                <w:sz w:val="20"/>
                <w:szCs w:val="20"/>
              </w:rPr>
            </w:pPr>
            <w:r w:rsidRPr="008720F3">
              <w:rPr>
                <w:rFonts w:eastAsia="Times New Roman" w:cs="Arial"/>
                <w:sz w:val="20"/>
                <w:szCs w:val="20"/>
              </w:rPr>
              <w:t xml:space="preserve"> 5,100 </w:t>
            </w:r>
          </w:p>
        </w:tc>
        <w:tc>
          <w:tcPr>
            <w:tcW w:w="1590" w:type="dxa"/>
            <w:tcBorders>
              <w:top w:val="nil"/>
              <w:left w:val="nil"/>
              <w:bottom w:val="nil"/>
              <w:right w:val="single" w:sz="4" w:space="0" w:color="auto"/>
            </w:tcBorders>
            <w:shd w:val="clear" w:color="auto" w:fill="auto"/>
            <w:noWrap/>
            <w:vAlign w:val="center"/>
            <w:hideMark/>
          </w:tcPr>
          <w:p w:rsidR="008D4548" w:rsidRPr="008720F3" w:rsidRDefault="008D4548" w:rsidP="005E2F3F">
            <w:pPr>
              <w:spacing w:after="0" w:line="240" w:lineRule="auto"/>
              <w:jc w:val="right"/>
              <w:rPr>
                <w:rFonts w:eastAsia="Times New Roman" w:cs="Arial"/>
                <w:sz w:val="20"/>
                <w:szCs w:val="20"/>
              </w:rPr>
            </w:pPr>
            <w:r w:rsidRPr="008720F3">
              <w:rPr>
                <w:rFonts w:eastAsia="Times New Roman" w:cs="Arial"/>
                <w:sz w:val="20"/>
                <w:szCs w:val="20"/>
              </w:rPr>
              <w:t xml:space="preserve"> - </w:t>
            </w:r>
          </w:p>
        </w:tc>
      </w:tr>
      <w:tr w:rsidR="00473E40" w:rsidRPr="008720F3" w:rsidTr="005E2F3F">
        <w:trPr>
          <w:cantSplit/>
          <w:trHeight w:hRule="exact" w:val="317"/>
        </w:trPr>
        <w:tc>
          <w:tcPr>
            <w:tcW w:w="2977" w:type="dxa"/>
            <w:tcBorders>
              <w:top w:val="single" w:sz="4" w:space="0" w:color="auto"/>
              <w:left w:val="single" w:sz="4" w:space="0" w:color="auto"/>
              <w:bottom w:val="single" w:sz="4" w:space="0" w:color="auto"/>
              <w:right w:val="nil"/>
            </w:tcBorders>
            <w:shd w:val="clear" w:color="auto" w:fill="auto"/>
            <w:noWrap/>
            <w:vAlign w:val="center"/>
            <w:hideMark/>
          </w:tcPr>
          <w:p w:rsidR="00473E40" w:rsidRPr="008720F3" w:rsidRDefault="00473E40" w:rsidP="005E2F3F">
            <w:pPr>
              <w:spacing w:after="0" w:line="240" w:lineRule="auto"/>
              <w:rPr>
                <w:rFonts w:eastAsia="Times New Roman" w:cs="Arial"/>
                <w:sz w:val="20"/>
                <w:szCs w:val="20"/>
              </w:rPr>
            </w:pPr>
            <w:r w:rsidRPr="008720F3">
              <w:rPr>
                <w:rFonts w:eastAsia="Times New Roman" w:cs="Arial"/>
                <w:sz w:val="20"/>
                <w:szCs w:val="20"/>
              </w:rPr>
              <w:t>Total AFVs</w:t>
            </w:r>
          </w:p>
        </w:tc>
        <w:tc>
          <w:tcPr>
            <w:tcW w:w="1590" w:type="dxa"/>
            <w:tcBorders>
              <w:top w:val="single" w:sz="4" w:space="0" w:color="auto"/>
              <w:left w:val="nil"/>
              <w:bottom w:val="single" w:sz="4" w:space="0" w:color="auto"/>
              <w:right w:val="nil"/>
            </w:tcBorders>
            <w:shd w:val="clear" w:color="auto" w:fill="auto"/>
            <w:noWrap/>
            <w:vAlign w:val="center"/>
            <w:hideMark/>
          </w:tcPr>
          <w:p w:rsidR="00473E40" w:rsidRPr="008720F3" w:rsidRDefault="00D71949" w:rsidP="005E2F3F">
            <w:pPr>
              <w:spacing w:after="0" w:line="240" w:lineRule="auto"/>
              <w:jc w:val="right"/>
              <w:rPr>
                <w:rFonts w:eastAsia="Times New Roman" w:cs="Arial"/>
                <w:sz w:val="20"/>
                <w:szCs w:val="20"/>
              </w:rPr>
            </w:pPr>
            <w:r w:rsidRPr="008720F3">
              <w:rPr>
                <w:rFonts w:eastAsia="Times New Roman" w:cs="Arial"/>
                <w:sz w:val="20"/>
                <w:szCs w:val="20"/>
              </w:rPr>
              <w:t>21,000,000</w:t>
            </w:r>
          </w:p>
        </w:tc>
        <w:tc>
          <w:tcPr>
            <w:tcW w:w="1590" w:type="dxa"/>
            <w:tcBorders>
              <w:top w:val="single" w:sz="4" w:space="0" w:color="auto"/>
              <w:left w:val="nil"/>
              <w:bottom w:val="single" w:sz="4" w:space="0" w:color="auto"/>
              <w:right w:val="nil"/>
            </w:tcBorders>
            <w:shd w:val="clear" w:color="auto" w:fill="auto"/>
            <w:noWrap/>
            <w:vAlign w:val="center"/>
            <w:hideMark/>
          </w:tcPr>
          <w:p w:rsidR="00473E40" w:rsidRPr="008720F3" w:rsidRDefault="00D71949" w:rsidP="005E2F3F">
            <w:pPr>
              <w:spacing w:after="0" w:line="240" w:lineRule="auto"/>
              <w:jc w:val="right"/>
              <w:rPr>
                <w:rFonts w:eastAsia="Times New Roman" w:cs="Arial"/>
                <w:sz w:val="20"/>
                <w:szCs w:val="20"/>
              </w:rPr>
            </w:pPr>
            <w:r w:rsidRPr="008720F3">
              <w:rPr>
                <w:rFonts w:eastAsia="Times New Roman" w:cs="Arial"/>
                <w:sz w:val="20"/>
                <w:szCs w:val="20"/>
              </w:rPr>
              <w:t>35,000,000</w:t>
            </w:r>
          </w:p>
        </w:tc>
        <w:tc>
          <w:tcPr>
            <w:tcW w:w="1590" w:type="dxa"/>
            <w:tcBorders>
              <w:top w:val="single" w:sz="4" w:space="0" w:color="auto"/>
              <w:left w:val="nil"/>
              <w:bottom w:val="single" w:sz="4" w:space="0" w:color="auto"/>
              <w:right w:val="single" w:sz="4" w:space="0" w:color="auto"/>
            </w:tcBorders>
            <w:shd w:val="clear" w:color="auto" w:fill="auto"/>
            <w:noWrap/>
            <w:vAlign w:val="center"/>
            <w:hideMark/>
          </w:tcPr>
          <w:p w:rsidR="00473E40" w:rsidRPr="008720F3" w:rsidRDefault="00D71949" w:rsidP="005E2F3F">
            <w:pPr>
              <w:spacing w:after="0" w:line="240" w:lineRule="auto"/>
              <w:jc w:val="right"/>
              <w:rPr>
                <w:rFonts w:eastAsia="Times New Roman" w:cs="Arial"/>
                <w:sz w:val="20"/>
                <w:szCs w:val="20"/>
              </w:rPr>
            </w:pPr>
            <w:r w:rsidRPr="008720F3">
              <w:rPr>
                <w:rFonts w:eastAsia="Times New Roman" w:cs="Arial"/>
                <w:sz w:val="20"/>
                <w:szCs w:val="20"/>
              </w:rPr>
              <w:t>15,000,000</w:t>
            </w:r>
          </w:p>
        </w:tc>
      </w:tr>
    </w:tbl>
    <w:p w:rsidR="00473E40" w:rsidRPr="001F4DED" w:rsidRDefault="00A8227E" w:rsidP="009444F6">
      <w:pPr>
        <w:spacing w:after="0"/>
        <w:rPr>
          <w:rFonts w:cs="Arial"/>
          <w:sz w:val="18"/>
          <w:szCs w:val="20"/>
        </w:rPr>
      </w:pPr>
      <w:r w:rsidRPr="001F4DED">
        <w:rPr>
          <w:rFonts w:cs="Arial"/>
          <w:sz w:val="18"/>
          <w:szCs w:val="20"/>
        </w:rPr>
        <w:t>Note: Resulting sales estimate</w:t>
      </w:r>
      <w:r w:rsidR="00D71949" w:rsidRPr="001F4DED">
        <w:rPr>
          <w:rFonts w:cs="Arial"/>
          <w:sz w:val="18"/>
          <w:szCs w:val="20"/>
        </w:rPr>
        <w:t>s are rounded to two significant digits; individual values may not add to totals.</w:t>
      </w:r>
    </w:p>
    <w:p w:rsidR="009444F6" w:rsidRPr="008720F3" w:rsidRDefault="009444F6" w:rsidP="00D71949">
      <w:pPr>
        <w:rPr>
          <w:rFonts w:cs="Arial"/>
          <w:i/>
          <w:sz w:val="20"/>
          <w:szCs w:val="20"/>
        </w:rPr>
      </w:pPr>
      <w:r w:rsidRPr="008720F3">
        <w:rPr>
          <w:rFonts w:cs="Arial"/>
          <w:i/>
          <w:sz w:val="20"/>
          <w:szCs w:val="20"/>
        </w:rPr>
        <w:t>Sources:</w:t>
      </w:r>
      <w:r w:rsidRPr="008720F3">
        <w:t xml:space="preserve"> </w:t>
      </w:r>
      <w:r w:rsidRPr="008720F3">
        <w:rPr>
          <w:rFonts w:cs="Arial"/>
          <w:i/>
          <w:sz w:val="20"/>
          <w:szCs w:val="20"/>
        </w:rPr>
        <w:t>AFDC 2013, Durbin 2013, LMC Automotive 2013, Mock 2012, and Perkowski 2012</w:t>
      </w:r>
    </w:p>
    <w:p w:rsidR="00473E40" w:rsidRPr="00825A8F" w:rsidRDefault="00473E40" w:rsidP="00473E40">
      <w:pPr>
        <w:rPr>
          <w:rFonts w:cs="Arial"/>
          <w:szCs w:val="24"/>
        </w:rPr>
      </w:pPr>
      <w:r w:rsidRPr="00825A8F">
        <w:rPr>
          <w:rFonts w:cs="Arial"/>
          <w:szCs w:val="24"/>
        </w:rPr>
        <w:t>Infrastructure cost</w:t>
      </w:r>
      <w:r w:rsidR="00BA7044" w:rsidRPr="00825A8F">
        <w:rPr>
          <w:rFonts w:cs="Arial"/>
          <w:szCs w:val="24"/>
        </w:rPr>
        <w:t>s</w:t>
      </w:r>
      <w:r w:rsidRPr="00825A8F">
        <w:rPr>
          <w:rFonts w:cs="Arial"/>
          <w:szCs w:val="24"/>
        </w:rPr>
        <w:t xml:space="preserve"> by country were generated using the 2030 </w:t>
      </w:r>
      <w:r w:rsidR="00033200" w:rsidRPr="00825A8F">
        <w:rPr>
          <w:rFonts w:cs="Arial"/>
          <w:szCs w:val="24"/>
        </w:rPr>
        <w:t xml:space="preserve">AFVs in operation </w:t>
      </w:r>
      <w:r w:rsidRPr="00825A8F">
        <w:rPr>
          <w:rFonts w:cs="Arial"/>
          <w:szCs w:val="24"/>
        </w:rPr>
        <w:t xml:space="preserve">estimates from </w:t>
      </w:r>
      <w:r w:rsidR="00E87435" w:rsidRPr="00825A8F">
        <w:rPr>
          <w:rFonts w:cs="Arial"/>
          <w:szCs w:val="24"/>
        </w:rPr>
        <w:t>Table 8</w:t>
      </w:r>
      <w:r w:rsidRPr="00825A8F">
        <w:rPr>
          <w:rFonts w:cs="Arial"/>
          <w:szCs w:val="24"/>
        </w:rPr>
        <w:t xml:space="preserve"> in conjunction with the estimates of infrastructure cost per vehicle by fuel type from </w:t>
      </w:r>
      <w:r w:rsidR="0008106C" w:rsidRPr="00825A8F">
        <w:rPr>
          <w:rFonts w:cs="Arial"/>
          <w:szCs w:val="24"/>
        </w:rPr>
        <w:t>Table 4</w:t>
      </w:r>
      <w:r w:rsidRPr="00825A8F">
        <w:rPr>
          <w:rFonts w:cs="Arial"/>
          <w:szCs w:val="24"/>
        </w:rPr>
        <w:t xml:space="preserve">. The estimated infrastructure costs for fuel type are displayed below in </w:t>
      </w:r>
      <w:r w:rsidR="00E87435" w:rsidRPr="00825A8F">
        <w:rPr>
          <w:rFonts w:cs="Arial"/>
          <w:szCs w:val="24"/>
        </w:rPr>
        <w:t>Table 9</w:t>
      </w:r>
      <w:r w:rsidRPr="00825A8F">
        <w:rPr>
          <w:rFonts w:cs="Arial"/>
          <w:szCs w:val="24"/>
        </w:rPr>
        <w:t>.</w:t>
      </w:r>
    </w:p>
    <w:p w:rsidR="00237332" w:rsidRPr="00825A8F" w:rsidRDefault="00237332" w:rsidP="00984B07">
      <w:pPr>
        <w:pStyle w:val="Caption"/>
        <w:keepNext/>
        <w:spacing w:after="60" w:line="276" w:lineRule="auto"/>
        <w:rPr>
          <w:rFonts w:cs="Arial"/>
          <w:color w:val="auto"/>
          <w:sz w:val="20"/>
          <w:szCs w:val="24"/>
        </w:rPr>
      </w:pPr>
      <w:bookmarkStart w:id="59" w:name="_Toc352249449"/>
      <w:r w:rsidRPr="00825A8F">
        <w:rPr>
          <w:rFonts w:cs="Arial"/>
          <w:color w:val="auto"/>
          <w:sz w:val="20"/>
          <w:szCs w:val="24"/>
        </w:rPr>
        <w:t xml:space="preserve">Table </w:t>
      </w:r>
      <w:r w:rsidRPr="00825A8F">
        <w:rPr>
          <w:rFonts w:cs="Arial"/>
          <w:color w:val="auto"/>
          <w:sz w:val="20"/>
          <w:szCs w:val="24"/>
        </w:rPr>
        <w:fldChar w:fldCharType="begin"/>
      </w:r>
      <w:r w:rsidRPr="00825A8F">
        <w:rPr>
          <w:rFonts w:cs="Arial"/>
          <w:color w:val="auto"/>
          <w:sz w:val="20"/>
          <w:szCs w:val="24"/>
        </w:rPr>
        <w:instrText xml:space="preserve"> SEQ Table \* ARABIC </w:instrText>
      </w:r>
      <w:r w:rsidRPr="00825A8F">
        <w:rPr>
          <w:rFonts w:cs="Arial"/>
          <w:color w:val="auto"/>
          <w:sz w:val="20"/>
          <w:szCs w:val="24"/>
        </w:rPr>
        <w:fldChar w:fldCharType="separate"/>
      </w:r>
      <w:r w:rsidR="00E01A3B">
        <w:rPr>
          <w:rFonts w:cs="Arial"/>
          <w:noProof/>
          <w:color w:val="auto"/>
          <w:sz w:val="20"/>
          <w:szCs w:val="24"/>
        </w:rPr>
        <w:t>9</w:t>
      </w:r>
      <w:r w:rsidRPr="00825A8F">
        <w:rPr>
          <w:rFonts w:cs="Arial"/>
          <w:color w:val="auto"/>
          <w:sz w:val="20"/>
          <w:szCs w:val="24"/>
        </w:rPr>
        <w:fldChar w:fldCharType="end"/>
      </w:r>
      <w:r w:rsidRPr="00825A8F">
        <w:rPr>
          <w:rFonts w:cs="Arial"/>
          <w:color w:val="auto"/>
          <w:sz w:val="20"/>
          <w:szCs w:val="24"/>
        </w:rPr>
        <w:t>: Infrastructure Cost by Country in Millions Nominal 2013 $US</w:t>
      </w:r>
      <w:bookmarkEnd w:id="59"/>
    </w:p>
    <w:tbl>
      <w:tblPr>
        <w:tblW w:w="6577" w:type="dxa"/>
        <w:tblInd w:w="101" w:type="dxa"/>
        <w:tblLayout w:type="fixed"/>
        <w:tblLook w:val="04A0" w:firstRow="1" w:lastRow="0" w:firstColumn="1" w:lastColumn="0" w:noHBand="0" w:noVBand="1"/>
      </w:tblPr>
      <w:tblGrid>
        <w:gridCol w:w="2990"/>
        <w:gridCol w:w="1085"/>
        <w:gridCol w:w="1512"/>
        <w:gridCol w:w="990"/>
      </w:tblGrid>
      <w:tr w:rsidR="00237332" w:rsidRPr="008720F3" w:rsidTr="00BA547B">
        <w:trPr>
          <w:trHeight w:hRule="exact" w:val="317"/>
        </w:trPr>
        <w:tc>
          <w:tcPr>
            <w:tcW w:w="2990" w:type="dxa"/>
            <w:tcBorders>
              <w:top w:val="single" w:sz="4" w:space="0" w:color="auto"/>
              <w:left w:val="single" w:sz="4" w:space="0" w:color="auto"/>
              <w:bottom w:val="single" w:sz="4" w:space="0" w:color="auto"/>
              <w:right w:val="nil"/>
            </w:tcBorders>
            <w:shd w:val="clear" w:color="auto" w:fill="auto"/>
            <w:noWrap/>
            <w:vAlign w:val="center"/>
            <w:hideMark/>
          </w:tcPr>
          <w:p w:rsidR="00237332" w:rsidRPr="008720F3" w:rsidRDefault="00237332" w:rsidP="00BA547B">
            <w:pPr>
              <w:spacing w:after="0" w:line="240" w:lineRule="auto"/>
              <w:rPr>
                <w:rFonts w:eastAsia="Times New Roman" w:cs="Arial"/>
                <w:b/>
                <w:bCs/>
                <w:sz w:val="20"/>
                <w:szCs w:val="20"/>
              </w:rPr>
            </w:pPr>
            <w:r w:rsidRPr="008720F3">
              <w:rPr>
                <w:rFonts w:eastAsia="Times New Roman" w:cs="Arial"/>
                <w:b/>
                <w:bCs/>
                <w:sz w:val="20"/>
                <w:szCs w:val="20"/>
              </w:rPr>
              <w:t>Fuel Type</w:t>
            </w:r>
          </w:p>
        </w:tc>
        <w:tc>
          <w:tcPr>
            <w:tcW w:w="1085" w:type="dxa"/>
            <w:tcBorders>
              <w:top w:val="single" w:sz="4" w:space="0" w:color="auto"/>
              <w:left w:val="nil"/>
              <w:bottom w:val="single" w:sz="4" w:space="0" w:color="auto"/>
              <w:right w:val="nil"/>
            </w:tcBorders>
            <w:shd w:val="clear" w:color="auto" w:fill="auto"/>
            <w:noWrap/>
            <w:vAlign w:val="center"/>
            <w:hideMark/>
          </w:tcPr>
          <w:p w:rsidR="00237332" w:rsidRPr="008720F3" w:rsidRDefault="00237332" w:rsidP="00BA547B">
            <w:pPr>
              <w:spacing w:after="0" w:line="240" w:lineRule="auto"/>
              <w:jc w:val="center"/>
              <w:rPr>
                <w:rFonts w:eastAsia="Times New Roman" w:cs="Arial"/>
                <w:b/>
                <w:bCs/>
                <w:sz w:val="20"/>
                <w:szCs w:val="20"/>
              </w:rPr>
            </w:pPr>
            <w:r w:rsidRPr="008720F3">
              <w:rPr>
                <w:rFonts w:eastAsia="Times New Roman" w:cs="Arial"/>
                <w:b/>
                <w:bCs/>
                <w:sz w:val="20"/>
                <w:szCs w:val="20"/>
              </w:rPr>
              <w:t>Europe</w:t>
            </w:r>
          </w:p>
        </w:tc>
        <w:tc>
          <w:tcPr>
            <w:tcW w:w="1512" w:type="dxa"/>
            <w:tcBorders>
              <w:top w:val="single" w:sz="4" w:space="0" w:color="auto"/>
              <w:left w:val="nil"/>
              <w:bottom w:val="single" w:sz="4" w:space="0" w:color="auto"/>
              <w:right w:val="nil"/>
            </w:tcBorders>
            <w:shd w:val="clear" w:color="auto" w:fill="auto"/>
            <w:noWrap/>
            <w:vAlign w:val="center"/>
            <w:hideMark/>
          </w:tcPr>
          <w:p w:rsidR="00237332" w:rsidRPr="008720F3" w:rsidRDefault="00237332" w:rsidP="00BA547B">
            <w:pPr>
              <w:spacing w:after="0" w:line="240" w:lineRule="auto"/>
              <w:jc w:val="center"/>
              <w:rPr>
                <w:rFonts w:eastAsia="Times New Roman" w:cs="Arial"/>
                <w:b/>
                <w:bCs/>
                <w:sz w:val="20"/>
                <w:szCs w:val="20"/>
              </w:rPr>
            </w:pPr>
            <w:r w:rsidRPr="008720F3">
              <w:rPr>
                <w:rFonts w:eastAsia="Times New Roman" w:cs="Arial"/>
                <w:b/>
                <w:bCs/>
                <w:sz w:val="20"/>
                <w:szCs w:val="20"/>
              </w:rPr>
              <w:t>United States</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237332" w:rsidRPr="008720F3" w:rsidRDefault="00237332" w:rsidP="00BA547B">
            <w:pPr>
              <w:spacing w:after="0" w:line="240" w:lineRule="auto"/>
              <w:jc w:val="center"/>
              <w:rPr>
                <w:rFonts w:eastAsia="Times New Roman" w:cs="Arial"/>
                <w:b/>
                <w:bCs/>
                <w:sz w:val="20"/>
                <w:szCs w:val="20"/>
              </w:rPr>
            </w:pPr>
            <w:r w:rsidRPr="008720F3">
              <w:rPr>
                <w:rFonts w:eastAsia="Times New Roman" w:cs="Arial"/>
                <w:b/>
                <w:bCs/>
                <w:sz w:val="20"/>
                <w:szCs w:val="20"/>
              </w:rPr>
              <w:t>China</w:t>
            </w:r>
          </w:p>
        </w:tc>
      </w:tr>
      <w:tr w:rsidR="00237332" w:rsidRPr="008720F3" w:rsidTr="00BA547B">
        <w:trPr>
          <w:trHeight w:hRule="exact" w:val="317"/>
        </w:trPr>
        <w:tc>
          <w:tcPr>
            <w:tcW w:w="2990" w:type="dxa"/>
            <w:tcBorders>
              <w:top w:val="nil"/>
              <w:left w:val="single" w:sz="4" w:space="0" w:color="auto"/>
              <w:bottom w:val="nil"/>
              <w:right w:val="nil"/>
            </w:tcBorders>
            <w:shd w:val="clear" w:color="auto" w:fill="auto"/>
            <w:noWrap/>
            <w:vAlign w:val="center"/>
            <w:hideMark/>
          </w:tcPr>
          <w:p w:rsidR="00237332" w:rsidRPr="008720F3" w:rsidRDefault="00237332" w:rsidP="00BA547B">
            <w:pPr>
              <w:spacing w:after="0" w:line="240" w:lineRule="auto"/>
              <w:rPr>
                <w:rFonts w:eastAsia="Times New Roman" w:cs="Arial"/>
                <w:sz w:val="20"/>
                <w:szCs w:val="24"/>
              </w:rPr>
            </w:pPr>
            <w:r w:rsidRPr="008720F3">
              <w:rPr>
                <w:rFonts w:eastAsia="Times New Roman" w:cs="Arial"/>
                <w:sz w:val="20"/>
                <w:szCs w:val="24"/>
              </w:rPr>
              <w:t>Natural Gas (CNG)</w:t>
            </w:r>
          </w:p>
        </w:tc>
        <w:tc>
          <w:tcPr>
            <w:tcW w:w="1085" w:type="dxa"/>
            <w:tcBorders>
              <w:top w:val="nil"/>
              <w:left w:val="nil"/>
              <w:bottom w:val="nil"/>
              <w:right w:val="nil"/>
            </w:tcBorders>
            <w:shd w:val="clear" w:color="auto" w:fill="auto"/>
            <w:noWrap/>
            <w:hideMark/>
          </w:tcPr>
          <w:p w:rsidR="00237332" w:rsidRPr="008720F3" w:rsidRDefault="00237332" w:rsidP="00825A8F">
            <w:pPr>
              <w:ind w:right="49"/>
              <w:jc w:val="right"/>
            </w:pPr>
            <w:r w:rsidRPr="008720F3">
              <w:t>$17,160</w:t>
            </w:r>
          </w:p>
        </w:tc>
        <w:tc>
          <w:tcPr>
            <w:tcW w:w="1512" w:type="dxa"/>
            <w:tcBorders>
              <w:top w:val="nil"/>
              <w:left w:val="nil"/>
              <w:bottom w:val="nil"/>
              <w:right w:val="nil"/>
            </w:tcBorders>
            <w:shd w:val="clear" w:color="auto" w:fill="auto"/>
            <w:noWrap/>
            <w:hideMark/>
          </w:tcPr>
          <w:p w:rsidR="00237332" w:rsidRPr="008720F3" w:rsidRDefault="00237332" w:rsidP="00825A8F">
            <w:pPr>
              <w:ind w:right="252"/>
              <w:jc w:val="right"/>
            </w:pPr>
            <w:r w:rsidRPr="008720F3">
              <w:t>$1,154</w:t>
            </w:r>
          </w:p>
        </w:tc>
        <w:tc>
          <w:tcPr>
            <w:tcW w:w="990" w:type="dxa"/>
            <w:tcBorders>
              <w:top w:val="nil"/>
              <w:left w:val="nil"/>
              <w:bottom w:val="nil"/>
              <w:right w:val="single" w:sz="4" w:space="0" w:color="auto"/>
            </w:tcBorders>
            <w:shd w:val="clear" w:color="auto" w:fill="auto"/>
            <w:noWrap/>
            <w:hideMark/>
          </w:tcPr>
          <w:p w:rsidR="00237332" w:rsidRPr="008720F3" w:rsidRDefault="00237332" w:rsidP="00BA547B">
            <w:pPr>
              <w:jc w:val="right"/>
            </w:pPr>
            <w:r w:rsidRPr="008720F3">
              <w:t>$8,268</w:t>
            </w:r>
          </w:p>
        </w:tc>
      </w:tr>
      <w:tr w:rsidR="00237332" w:rsidRPr="008720F3" w:rsidTr="00BA547B">
        <w:trPr>
          <w:trHeight w:hRule="exact" w:val="317"/>
        </w:trPr>
        <w:tc>
          <w:tcPr>
            <w:tcW w:w="2990" w:type="dxa"/>
            <w:tcBorders>
              <w:top w:val="nil"/>
              <w:left w:val="single" w:sz="4" w:space="0" w:color="auto"/>
              <w:bottom w:val="nil"/>
              <w:right w:val="nil"/>
            </w:tcBorders>
            <w:shd w:val="clear" w:color="auto" w:fill="auto"/>
            <w:noWrap/>
            <w:vAlign w:val="center"/>
            <w:hideMark/>
          </w:tcPr>
          <w:p w:rsidR="00237332" w:rsidRPr="008720F3" w:rsidRDefault="00237332" w:rsidP="00BA547B">
            <w:pPr>
              <w:spacing w:after="0" w:line="240" w:lineRule="auto"/>
              <w:rPr>
                <w:rFonts w:eastAsia="Times New Roman" w:cs="Arial"/>
                <w:sz w:val="20"/>
                <w:szCs w:val="24"/>
              </w:rPr>
            </w:pPr>
            <w:r w:rsidRPr="008720F3">
              <w:rPr>
                <w:rFonts w:eastAsia="Times New Roman" w:cs="Arial"/>
                <w:sz w:val="20"/>
                <w:szCs w:val="24"/>
              </w:rPr>
              <w:t>Flex-Fuel (E85)</w:t>
            </w:r>
          </w:p>
        </w:tc>
        <w:tc>
          <w:tcPr>
            <w:tcW w:w="1085" w:type="dxa"/>
            <w:tcBorders>
              <w:top w:val="nil"/>
              <w:left w:val="nil"/>
              <w:bottom w:val="nil"/>
              <w:right w:val="nil"/>
            </w:tcBorders>
            <w:shd w:val="clear" w:color="auto" w:fill="auto"/>
            <w:noWrap/>
            <w:hideMark/>
          </w:tcPr>
          <w:p w:rsidR="00237332" w:rsidRPr="008720F3" w:rsidRDefault="00237332" w:rsidP="00825A8F">
            <w:pPr>
              <w:ind w:right="49"/>
              <w:jc w:val="right"/>
            </w:pPr>
            <w:r w:rsidRPr="008720F3">
              <w:t>$384</w:t>
            </w:r>
          </w:p>
        </w:tc>
        <w:tc>
          <w:tcPr>
            <w:tcW w:w="1512" w:type="dxa"/>
            <w:tcBorders>
              <w:top w:val="nil"/>
              <w:left w:val="nil"/>
              <w:bottom w:val="nil"/>
              <w:right w:val="nil"/>
            </w:tcBorders>
            <w:shd w:val="clear" w:color="auto" w:fill="auto"/>
            <w:noWrap/>
            <w:hideMark/>
          </w:tcPr>
          <w:p w:rsidR="00237332" w:rsidRPr="008720F3" w:rsidRDefault="00237332" w:rsidP="00825A8F">
            <w:pPr>
              <w:ind w:right="252"/>
              <w:jc w:val="right"/>
            </w:pPr>
            <w:r w:rsidRPr="008720F3">
              <w:t>$7,200</w:t>
            </w:r>
          </w:p>
        </w:tc>
        <w:tc>
          <w:tcPr>
            <w:tcW w:w="990" w:type="dxa"/>
            <w:tcBorders>
              <w:top w:val="nil"/>
              <w:left w:val="nil"/>
              <w:bottom w:val="nil"/>
              <w:right w:val="single" w:sz="4" w:space="0" w:color="auto"/>
            </w:tcBorders>
            <w:shd w:val="clear" w:color="auto" w:fill="auto"/>
            <w:noWrap/>
            <w:hideMark/>
          </w:tcPr>
          <w:p w:rsidR="00237332" w:rsidRPr="008720F3" w:rsidRDefault="00237332" w:rsidP="00BA547B">
            <w:pPr>
              <w:jc w:val="right"/>
            </w:pPr>
            <w:r w:rsidRPr="008720F3">
              <w:t xml:space="preserve"> - </w:t>
            </w:r>
          </w:p>
        </w:tc>
      </w:tr>
      <w:tr w:rsidR="00237332" w:rsidRPr="008720F3" w:rsidTr="00BA547B">
        <w:trPr>
          <w:trHeight w:hRule="exact" w:val="317"/>
        </w:trPr>
        <w:tc>
          <w:tcPr>
            <w:tcW w:w="2990" w:type="dxa"/>
            <w:tcBorders>
              <w:top w:val="nil"/>
              <w:left w:val="single" w:sz="4" w:space="0" w:color="auto"/>
              <w:bottom w:val="nil"/>
              <w:right w:val="nil"/>
            </w:tcBorders>
            <w:shd w:val="clear" w:color="auto" w:fill="auto"/>
            <w:noWrap/>
            <w:vAlign w:val="center"/>
            <w:hideMark/>
          </w:tcPr>
          <w:p w:rsidR="00237332" w:rsidRPr="008720F3" w:rsidRDefault="00237332" w:rsidP="00BA547B">
            <w:pPr>
              <w:spacing w:after="0" w:line="240" w:lineRule="auto"/>
              <w:rPr>
                <w:rFonts w:eastAsia="Times New Roman" w:cs="Arial"/>
                <w:sz w:val="20"/>
                <w:szCs w:val="24"/>
              </w:rPr>
            </w:pPr>
            <w:r w:rsidRPr="008720F3">
              <w:rPr>
                <w:rFonts w:eastAsia="Times New Roman" w:cs="Arial"/>
                <w:sz w:val="20"/>
                <w:szCs w:val="24"/>
              </w:rPr>
              <w:t>Plug-in Electric (BEV &amp; PHEV)</w:t>
            </w:r>
          </w:p>
        </w:tc>
        <w:tc>
          <w:tcPr>
            <w:tcW w:w="1085" w:type="dxa"/>
            <w:tcBorders>
              <w:top w:val="nil"/>
              <w:left w:val="nil"/>
              <w:bottom w:val="nil"/>
              <w:right w:val="nil"/>
            </w:tcBorders>
            <w:shd w:val="clear" w:color="auto" w:fill="auto"/>
            <w:noWrap/>
            <w:hideMark/>
          </w:tcPr>
          <w:p w:rsidR="00237332" w:rsidRPr="008720F3" w:rsidRDefault="00237332" w:rsidP="00825A8F">
            <w:pPr>
              <w:ind w:right="49"/>
              <w:jc w:val="right"/>
            </w:pPr>
            <w:r w:rsidRPr="008720F3">
              <w:t>$23,760</w:t>
            </w:r>
          </w:p>
        </w:tc>
        <w:tc>
          <w:tcPr>
            <w:tcW w:w="1512" w:type="dxa"/>
            <w:tcBorders>
              <w:top w:val="nil"/>
              <w:left w:val="nil"/>
              <w:bottom w:val="nil"/>
              <w:right w:val="nil"/>
            </w:tcBorders>
            <w:shd w:val="clear" w:color="auto" w:fill="auto"/>
            <w:noWrap/>
            <w:hideMark/>
          </w:tcPr>
          <w:p w:rsidR="00237332" w:rsidRPr="008720F3" w:rsidRDefault="00237332" w:rsidP="00825A8F">
            <w:pPr>
              <w:ind w:right="252"/>
              <w:jc w:val="right"/>
            </w:pPr>
            <w:r w:rsidRPr="008720F3">
              <w:t>$10,152</w:t>
            </w:r>
          </w:p>
        </w:tc>
        <w:tc>
          <w:tcPr>
            <w:tcW w:w="990" w:type="dxa"/>
            <w:tcBorders>
              <w:top w:val="nil"/>
              <w:left w:val="nil"/>
              <w:bottom w:val="nil"/>
              <w:right w:val="single" w:sz="4" w:space="0" w:color="auto"/>
            </w:tcBorders>
            <w:shd w:val="clear" w:color="auto" w:fill="auto"/>
            <w:noWrap/>
            <w:hideMark/>
          </w:tcPr>
          <w:p w:rsidR="00237332" w:rsidRPr="008720F3" w:rsidRDefault="00237332" w:rsidP="00BA547B">
            <w:pPr>
              <w:jc w:val="right"/>
            </w:pPr>
            <w:r w:rsidRPr="008720F3">
              <w:t>$25,920</w:t>
            </w:r>
          </w:p>
        </w:tc>
      </w:tr>
      <w:tr w:rsidR="00237332" w:rsidRPr="008720F3" w:rsidTr="00BA547B">
        <w:trPr>
          <w:trHeight w:hRule="exact" w:val="317"/>
        </w:trPr>
        <w:tc>
          <w:tcPr>
            <w:tcW w:w="2990" w:type="dxa"/>
            <w:tcBorders>
              <w:top w:val="nil"/>
              <w:left w:val="single" w:sz="4" w:space="0" w:color="auto"/>
              <w:bottom w:val="nil"/>
              <w:right w:val="nil"/>
            </w:tcBorders>
            <w:shd w:val="clear" w:color="auto" w:fill="auto"/>
            <w:noWrap/>
            <w:vAlign w:val="center"/>
            <w:hideMark/>
          </w:tcPr>
          <w:p w:rsidR="00237332" w:rsidRPr="008720F3" w:rsidRDefault="00237332" w:rsidP="00BA547B">
            <w:pPr>
              <w:spacing w:after="0" w:line="240" w:lineRule="auto"/>
              <w:rPr>
                <w:rFonts w:eastAsia="Times New Roman" w:cs="Arial"/>
                <w:sz w:val="20"/>
                <w:szCs w:val="24"/>
              </w:rPr>
            </w:pPr>
            <w:r w:rsidRPr="008720F3">
              <w:rPr>
                <w:rFonts w:eastAsia="Times New Roman" w:cs="Arial"/>
                <w:sz w:val="20"/>
                <w:szCs w:val="24"/>
              </w:rPr>
              <w:t>Hydrogen (Fuel Cell)</w:t>
            </w:r>
          </w:p>
        </w:tc>
        <w:tc>
          <w:tcPr>
            <w:tcW w:w="1085" w:type="dxa"/>
            <w:tcBorders>
              <w:top w:val="nil"/>
              <w:left w:val="nil"/>
              <w:bottom w:val="nil"/>
              <w:right w:val="nil"/>
            </w:tcBorders>
            <w:shd w:val="clear" w:color="auto" w:fill="auto"/>
            <w:noWrap/>
            <w:hideMark/>
          </w:tcPr>
          <w:p w:rsidR="00237332" w:rsidRPr="008720F3" w:rsidRDefault="00237332" w:rsidP="00825A8F">
            <w:pPr>
              <w:ind w:right="49"/>
              <w:jc w:val="right"/>
            </w:pPr>
            <w:r w:rsidRPr="008720F3">
              <w:t>$774</w:t>
            </w:r>
          </w:p>
        </w:tc>
        <w:tc>
          <w:tcPr>
            <w:tcW w:w="1512" w:type="dxa"/>
            <w:tcBorders>
              <w:top w:val="nil"/>
              <w:left w:val="nil"/>
              <w:bottom w:val="nil"/>
              <w:right w:val="nil"/>
            </w:tcBorders>
            <w:shd w:val="clear" w:color="auto" w:fill="auto"/>
            <w:noWrap/>
            <w:hideMark/>
          </w:tcPr>
          <w:p w:rsidR="00237332" w:rsidRPr="008720F3" w:rsidRDefault="00237332" w:rsidP="00825A8F">
            <w:pPr>
              <w:ind w:right="252"/>
              <w:jc w:val="right"/>
            </w:pPr>
            <w:r w:rsidRPr="008720F3">
              <w:t>$25</w:t>
            </w:r>
          </w:p>
        </w:tc>
        <w:tc>
          <w:tcPr>
            <w:tcW w:w="990" w:type="dxa"/>
            <w:tcBorders>
              <w:top w:val="nil"/>
              <w:left w:val="nil"/>
              <w:bottom w:val="nil"/>
              <w:right w:val="single" w:sz="4" w:space="0" w:color="auto"/>
            </w:tcBorders>
            <w:shd w:val="clear" w:color="auto" w:fill="auto"/>
            <w:noWrap/>
            <w:hideMark/>
          </w:tcPr>
          <w:p w:rsidR="00237332" w:rsidRPr="008720F3" w:rsidRDefault="00237332" w:rsidP="00BA547B">
            <w:pPr>
              <w:jc w:val="right"/>
            </w:pPr>
            <w:r w:rsidRPr="008720F3">
              <w:t xml:space="preserve"> - </w:t>
            </w:r>
          </w:p>
        </w:tc>
      </w:tr>
      <w:tr w:rsidR="00237332" w:rsidRPr="008720F3" w:rsidTr="00BA547B">
        <w:trPr>
          <w:trHeight w:hRule="exact" w:val="317"/>
        </w:trPr>
        <w:tc>
          <w:tcPr>
            <w:tcW w:w="2990" w:type="dxa"/>
            <w:tcBorders>
              <w:top w:val="single" w:sz="4" w:space="0" w:color="auto"/>
              <w:left w:val="single" w:sz="4" w:space="0" w:color="auto"/>
              <w:bottom w:val="single" w:sz="4" w:space="0" w:color="auto"/>
              <w:right w:val="nil"/>
            </w:tcBorders>
            <w:shd w:val="clear" w:color="auto" w:fill="auto"/>
            <w:noWrap/>
            <w:vAlign w:val="center"/>
            <w:hideMark/>
          </w:tcPr>
          <w:p w:rsidR="00237332" w:rsidRPr="008720F3" w:rsidRDefault="00237332" w:rsidP="00BA547B">
            <w:pPr>
              <w:spacing w:after="0" w:line="240" w:lineRule="auto"/>
              <w:rPr>
                <w:rFonts w:eastAsia="Times New Roman" w:cs="Arial"/>
                <w:sz w:val="20"/>
                <w:szCs w:val="20"/>
              </w:rPr>
            </w:pPr>
            <w:r w:rsidRPr="008720F3">
              <w:rPr>
                <w:rFonts w:eastAsia="Times New Roman" w:cs="Arial"/>
                <w:sz w:val="20"/>
                <w:szCs w:val="20"/>
              </w:rPr>
              <w:t>Total AFV Infrastructure</w:t>
            </w:r>
          </w:p>
        </w:tc>
        <w:tc>
          <w:tcPr>
            <w:tcW w:w="1085" w:type="dxa"/>
            <w:tcBorders>
              <w:top w:val="single" w:sz="4" w:space="0" w:color="auto"/>
              <w:left w:val="nil"/>
              <w:bottom w:val="single" w:sz="4" w:space="0" w:color="auto"/>
              <w:right w:val="nil"/>
            </w:tcBorders>
            <w:shd w:val="clear" w:color="auto" w:fill="auto"/>
            <w:noWrap/>
            <w:hideMark/>
          </w:tcPr>
          <w:p w:rsidR="00237332" w:rsidRPr="008720F3" w:rsidRDefault="00237332" w:rsidP="00825A8F">
            <w:pPr>
              <w:spacing w:after="0"/>
              <w:ind w:right="49"/>
              <w:jc w:val="right"/>
            </w:pPr>
            <w:r w:rsidRPr="008720F3">
              <w:t>$42,078</w:t>
            </w:r>
          </w:p>
        </w:tc>
        <w:tc>
          <w:tcPr>
            <w:tcW w:w="1512" w:type="dxa"/>
            <w:tcBorders>
              <w:top w:val="single" w:sz="4" w:space="0" w:color="auto"/>
              <w:left w:val="nil"/>
              <w:bottom w:val="single" w:sz="4" w:space="0" w:color="auto"/>
              <w:right w:val="nil"/>
            </w:tcBorders>
            <w:shd w:val="clear" w:color="auto" w:fill="auto"/>
            <w:noWrap/>
            <w:hideMark/>
          </w:tcPr>
          <w:p w:rsidR="00237332" w:rsidRPr="008720F3" w:rsidRDefault="00237332" w:rsidP="00825A8F">
            <w:pPr>
              <w:spacing w:after="0"/>
              <w:ind w:right="252"/>
              <w:jc w:val="right"/>
            </w:pPr>
            <w:r w:rsidRPr="008720F3">
              <w:t>$18,531</w:t>
            </w:r>
          </w:p>
        </w:tc>
        <w:tc>
          <w:tcPr>
            <w:tcW w:w="990" w:type="dxa"/>
            <w:tcBorders>
              <w:top w:val="single" w:sz="4" w:space="0" w:color="auto"/>
              <w:left w:val="nil"/>
              <w:bottom w:val="single" w:sz="4" w:space="0" w:color="auto"/>
              <w:right w:val="single" w:sz="4" w:space="0" w:color="auto"/>
            </w:tcBorders>
            <w:shd w:val="clear" w:color="auto" w:fill="auto"/>
            <w:noWrap/>
            <w:hideMark/>
          </w:tcPr>
          <w:p w:rsidR="00237332" w:rsidRPr="008720F3" w:rsidRDefault="00237332" w:rsidP="00BA547B">
            <w:pPr>
              <w:spacing w:after="0"/>
              <w:jc w:val="right"/>
            </w:pPr>
            <w:r w:rsidRPr="008720F3">
              <w:t>$34,188</w:t>
            </w:r>
          </w:p>
        </w:tc>
      </w:tr>
    </w:tbl>
    <w:p w:rsidR="00237332" w:rsidRPr="001F4DED" w:rsidRDefault="00237332" w:rsidP="00237332">
      <w:pPr>
        <w:rPr>
          <w:rFonts w:cs="Arial"/>
          <w:sz w:val="18"/>
          <w:szCs w:val="24"/>
        </w:rPr>
      </w:pPr>
      <w:r w:rsidRPr="001F4DED">
        <w:rPr>
          <w:rFonts w:cs="Arial"/>
          <w:sz w:val="18"/>
          <w:szCs w:val="24"/>
        </w:rPr>
        <w:t>Note: Based on estimates from Table 4 and Table 8</w:t>
      </w:r>
    </w:p>
    <w:p w:rsidR="00473E40" w:rsidRPr="00825A8F" w:rsidRDefault="0008106C" w:rsidP="00473E40">
      <w:pPr>
        <w:rPr>
          <w:rFonts w:cs="Arial"/>
          <w:szCs w:val="24"/>
        </w:rPr>
      </w:pPr>
      <w:r w:rsidRPr="00825A8F">
        <w:rPr>
          <w:rFonts w:cs="Arial"/>
          <w:szCs w:val="24"/>
        </w:rPr>
        <w:t xml:space="preserve">As </w:t>
      </w:r>
      <w:r w:rsidR="00BA7044" w:rsidRPr="00825A8F">
        <w:rPr>
          <w:rFonts w:cs="Arial"/>
          <w:szCs w:val="24"/>
        </w:rPr>
        <w:t>shown</w:t>
      </w:r>
      <w:r w:rsidR="00E87435" w:rsidRPr="00825A8F">
        <w:rPr>
          <w:rFonts w:cs="Arial"/>
          <w:szCs w:val="24"/>
        </w:rPr>
        <w:t xml:space="preserve"> in Table 9</w:t>
      </w:r>
      <w:r w:rsidR="00473E40" w:rsidRPr="00825A8F">
        <w:rPr>
          <w:rFonts w:cs="Arial"/>
          <w:szCs w:val="24"/>
        </w:rPr>
        <w:t>, by 2030</w:t>
      </w:r>
      <w:r w:rsidR="00BA7044" w:rsidRPr="00825A8F">
        <w:rPr>
          <w:rFonts w:cs="Arial"/>
          <w:szCs w:val="24"/>
        </w:rPr>
        <w:t>,</w:t>
      </w:r>
      <w:r w:rsidR="00473E40" w:rsidRPr="00825A8F">
        <w:rPr>
          <w:rFonts w:cs="Arial"/>
          <w:szCs w:val="24"/>
        </w:rPr>
        <w:t xml:space="preserve"> Europe will have spent the greatest amount of mo</w:t>
      </w:r>
      <w:r w:rsidR="002B513D" w:rsidRPr="00825A8F">
        <w:rPr>
          <w:rFonts w:cs="Arial"/>
          <w:szCs w:val="24"/>
        </w:rPr>
        <w:t>ney on AFV infrastructure at $42.1</w:t>
      </w:r>
      <w:r w:rsidR="00473E40" w:rsidRPr="00825A8F">
        <w:rPr>
          <w:rFonts w:cs="Arial"/>
          <w:szCs w:val="24"/>
        </w:rPr>
        <w:t xml:space="preserve"> billion. The investment required in the United States will be $18.5 billion, and the investment</w:t>
      </w:r>
      <w:r w:rsidR="002B513D" w:rsidRPr="00825A8F">
        <w:rPr>
          <w:rFonts w:cs="Arial"/>
          <w:szCs w:val="24"/>
        </w:rPr>
        <w:t xml:space="preserve"> required in China will be $34.2</w:t>
      </w:r>
      <w:r w:rsidR="00473E40" w:rsidRPr="00825A8F">
        <w:rPr>
          <w:rFonts w:cs="Arial"/>
          <w:szCs w:val="24"/>
        </w:rPr>
        <w:t xml:space="preserve"> billion. While the United States will have </w:t>
      </w:r>
      <w:r w:rsidR="00033200" w:rsidRPr="00825A8F">
        <w:rPr>
          <w:rFonts w:cs="Arial"/>
          <w:szCs w:val="24"/>
        </w:rPr>
        <w:t>almost as many AFVs in operation</w:t>
      </w:r>
      <w:r w:rsidR="00473E40" w:rsidRPr="00825A8F">
        <w:rPr>
          <w:rFonts w:cs="Arial"/>
          <w:szCs w:val="24"/>
        </w:rPr>
        <w:t xml:space="preserve"> as Europe and China combined, it will have spent less than either </w:t>
      </w:r>
      <w:r w:rsidR="00BA7044" w:rsidRPr="00825A8F">
        <w:rPr>
          <w:rFonts w:cs="Arial"/>
          <w:szCs w:val="24"/>
        </w:rPr>
        <w:t xml:space="preserve">country </w:t>
      </w:r>
      <w:r w:rsidR="00473E40" w:rsidRPr="00825A8F">
        <w:rPr>
          <w:rFonts w:cs="Arial"/>
          <w:szCs w:val="24"/>
        </w:rPr>
        <w:t>on AFV fuel dispensing infrastructure due to its heavy reliance on flex-fuel vehicles, which require less infrastructure investment per vehicle.</w:t>
      </w:r>
    </w:p>
    <w:p w:rsidR="00AA228C" w:rsidRPr="008720F3" w:rsidRDefault="00AA228C" w:rsidP="00825A8F">
      <w:pPr>
        <w:pStyle w:val="Heading2"/>
      </w:pPr>
      <w:bookmarkStart w:id="60" w:name="_Toc352854205"/>
      <w:r w:rsidRPr="008720F3">
        <w:t>Gap between Current Investment and 2030 Investment</w:t>
      </w:r>
      <w:bookmarkEnd w:id="60"/>
    </w:p>
    <w:p w:rsidR="003D59B9" w:rsidRPr="00825A8F" w:rsidRDefault="00FF5349">
      <w:pPr>
        <w:rPr>
          <w:rFonts w:cs="Arial"/>
          <w:szCs w:val="24"/>
        </w:rPr>
      </w:pPr>
      <w:r w:rsidRPr="00825A8F">
        <w:rPr>
          <w:rFonts w:cs="Arial"/>
          <w:szCs w:val="24"/>
        </w:rPr>
        <w:t xml:space="preserve">As described in previous sections, Europe, the United States, and China have already </w:t>
      </w:r>
      <w:r w:rsidR="00637E12" w:rsidRPr="00825A8F">
        <w:rPr>
          <w:rFonts w:cs="Arial"/>
          <w:szCs w:val="24"/>
        </w:rPr>
        <w:t>begun</w:t>
      </w:r>
      <w:r w:rsidRPr="00825A8F">
        <w:rPr>
          <w:rFonts w:cs="Arial"/>
          <w:szCs w:val="24"/>
        </w:rPr>
        <w:t xml:space="preserve"> investing in AFV infrastructure. </w:t>
      </w:r>
      <w:r w:rsidR="00637E12" w:rsidRPr="00825A8F">
        <w:rPr>
          <w:rFonts w:cs="Arial"/>
          <w:szCs w:val="24"/>
        </w:rPr>
        <w:t>Information on the extent of the infrastructure an</w:t>
      </w:r>
      <w:r w:rsidR="00AA228C" w:rsidRPr="00825A8F">
        <w:rPr>
          <w:rFonts w:cs="Arial"/>
          <w:szCs w:val="24"/>
        </w:rPr>
        <w:t xml:space="preserve">d the expenditures </w:t>
      </w:r>
      <w:r w:rsidR="00BA7044" w:rsidRPr="00825A8F">
        <w:rPr>
          <w:rFonts w:cs="Arial"/>
          <w:szCs w:val="24"/>
        </w:rPr>
        <w:t>required for installation</w:t>
      </w:r>
      <w:r w:rsidR="00637E12" w:rsidRPr="00825A8F">
        <w:rPr>
          <w:rFonts w:cs="Arial"/>
          <w:szCs w:val="24"/>
        </w:rPr>
        <w:t xml:space="preserve"> is</w:t>
      </w:r>
      <w:r w:rsidR="00AA228C" w:rsidRPr="00825A8F">
        <w:rPr>
          <w:rFonts w:cs="Arial"/>
          <w:szCs w:val="24"/>
        </w:rPr>
        <w:t xml:space="preserve"> somewhat</w:t>
      </w:r>
      <w:r w:rsidR="00637E12" w:rsidRPr="00825A8F">
        <w:rPr>
          <w:rFonts w:cs="Arial"/>
          <w:szCs w:val="24"/>
        </w:rPr>
        <w:t xml:space="preserve"> limited. </w:t>
      </w:r>
      <w:r w:rsidR="003D59B9" w:rsidRPr="00825A8F">
        <w:rPr>
          <w:rFonts w:cs="Arial"/>
          <w:szCs w:val="24"/>
        </w:rPr>
        <w:t>Given these limitations</w:t>
      </w:r>
      <w:r w:rsidR="00493DD7" w:rsidRPr="00825A8F">
        <w:rPr>
          <w:rFonts w:cs="Arial"/>
          <w:szCs w:val="24"/>
        </w:rPr>
        <w:t>,</w:t>
      </w:r>
      <w:r w:rsidR="003D59B9" w:rsidRPr="00825A8F">
        <w:rPr>
          <w:rFonts w:cs="Arial"/>
          <w:szCs w:val="24"/>
        </w:rPr>
        <w:t xml:space="preserve"> it is difficult to calculate the true spending on infrastructure construction.</w:t>
      </w:r>
    </w:p>
    <w:p w:rsidR="003D59B9" w:rsidRPr="00825A8F" w:rsidRDefault="00637E12">
      <w:pPr>
        <w:rPr>
          <w:rFonts w:cs="Arial"/>
          <w:szCs w:val="24"/>
        </w:rPr>
      </w:pPr>
      <w:r w:rsidRPr="00825A8F">
        <w:rPr>
          <w:rFonts w:cs="Arial"/>
          <w:szCs w:val="24"/>
        </w:rPr>
        <w:t xml:space="preserve">In addition, much of the existing infrastructure will need to be expanded or replaced between now and 2030. </w:t>
      </w:r>
      <w:r w:rsidR="003D59B9" w:rsidRPr="00825A8F">
        <w:rPr>
          <w:rFonts w:cs="Arial"/>
          <w:szCs w:val="24"/>
        </w:rPr>
        <w:t>This is especially true for hydrogen infrastructure</w:t>
      </w:r>
      <w:r w:rsidR="00AA228C" w:rsidRPr="00825A8F">
        <w:rPr>
          <w:rFonts w:cs="Arial"/>
          <w:szCs w:val="24"/>
        </w:rPr>
        <w:t>,</w:t>
      </w:r>
      <w:r w:rsidR="003D59B9" w:rsidRPr="00825A8F">
        <w:rPr>
          <w:rFonts w:cs="Arial"/>
          <w:szCs w:val="24"/>
        </w:rPr>
        <w:t xml:space="preserve"> as</w:t>
      </w:r>
      <w:r w:rsidR="00AA228C" w:rsidRPr="00825A8F">
        <w:rPr>
          <w:rFonts w:cs="Arial"/>
          <w:szCs w:val="24"/>
        </w:rPr>
        <w:t xml:space="preserve"> the majority of existing hydrogen </w:t>
      </w:r>
      <w:r w:rsidR="003D59B9" w:rsidRPr="00825A8F">
        <w:rPr>
          <w:rFonts w:cs="Arial"/>
          <w:szCs w:val="24"/>
        </w:rPr>
        <w:t>fueling stations</w:t>
      </w:r>
      <w:r w:rsidR="00AA228C" w:rsidRPr="00825A8F">
        <w:rPr>
          <w:rFonts w:cs="Arial"/>
          <w:szCs w:val="24"/>
        </w:rPr>
        <w:t xml:space="preserve"> </w:t>
      </w:r>
      <w:r w:rsidR="00E41E41" w:rsidRPr="00825A8F">
        <w:rPr>
          <w:rFonts w:cs="Arial"/>
          <w:szCs w:val="24"/>
        </w:rPr>
        <w:t xml:space="preserve">were created to support research, pilot studies, or small fleets. These stations </w:t>
      </w:r>
      <w:r w:rsidR="00AA228C" w:rsidRPr="00825A8F">
        <w:rPr>
          <w:rFonts w:cs="Arial"/>
          <w:szCs w:val="24"/>
        </w:rPr>
        <w:t>have significantly lower capacities than would be required for commer</w:t>
      </w:r>
      <w:r w:rsidR="00E41E41" w:rsidRPr="00825A8F">
        <w:rPr>
          <w:rFonts w:cs="Arial"/>
          <w:szCs w:val="24"/>
        </w:rPr>
        <w:t>cial operation</w:t>
      </w:r>
      <w:r w:rsidR="00BA7044" w:rsidRPr="00825A8F">
        <w:rPr>
          <w:rFonts w:cs="Arial"/>
          <w:szCs w:val="24"/>
        </w:rPr>
        <w:t>.</w:t>
      </w:r>
      <w:r w:rsidR="00E41E41" w:rsidRPr="00825A8F">
        <w:rPr>
          <w:rFonts w:cs="Arial"/>
          <w:szCs w:val="24"/>
        </w:rPr>
        <w:t xml:space="preserve"> </w:t>
      </w:r>
      <w:r w:rsidR="00BA7044" w:rsidRPr="00825A8F">
        <w:rPr>
          <w:rFonts w:cs="Arial"/>
          <w:szCs w:val="24"/>
        </w:rPr>
        <w:t>T</w:t>
      </w:r>
      <w:r w:rsidR="003D59B9" w:rsidRPr="00825A8F">
        <w:rPr>
          <w:rFonts w:cs="Arial"/>
          <w:szCs w:val="24"/>
        </w:rPr>
        <w:t xml:space="preserve">herefore, this analysis assumes that all hydrogen stations required for 2030 </w:t>
      </w:r>
      <w:r w:rsidR="00BA7044" w:rsidRPr="00825A8F">
        <w:rPr>
          <w:rFonts w:cs="Arial"/>
          <w:szCs w:val="24"/>
        </w:rPr>
        <w:t>will be</w:t>
      </w:r>
      <w:r w:rsidR="003D59B9" w:rsidRPr="00825A8F">
        <w:rPr>
          <w:rFonts w:cs="Arial"/>
          <w:szCs w:val="24"/>
        </w:rPr>
        <w:t xml:space="preserve"> built in the fu</w:t>
      </w:r>
      <w:r w:rsidR="00E41E41" w:rsidRPr="00825A8F">
        <w:rPr>
          <w:rFonts w:cs="Arial"/>
          <w:szCs w:val="24"/>
        </w:rPr>
        <w:t xml:space="preserve">ture. For this reason, spending on hydrogen stations is not estimated along with </w:t>
      </w:r>
      <w:r w:rsidR="003D59B9" w:rsidRPr="00825A8F">
        <w:rPr>
          <w:rFonts w:cs="Arial"/>
          <w:szCs w:val="24"/>
        </w:rPr>
        <w:t>spending on</w:t>
      </w:r>
      <w:r w:rsidR="00E41E41" w:rsidRPr="00825A8F">
        <w:rPr>
          <w:rFonts w:cs="Arial"/>
          <w:szCs w:val="24"/>
        </w:rPr>
        <w:t xml:space="preserve"> CNG, E85, and electric vehicle infrastructure</w:t>
      </w:r>
      <w:r w:rsidR="003D59B9" w:rsidRPr="00825A8F">
        <w:rPr>
          <w:rFonts w:cs="Arial"/>
          <w:szCs w:val="24"/>
        </w:rPr>
        <w:t xml:space="preserve">. </w:t>
      </w:r>
    </w:p>
    <w:p w:rsidR="003D59B9" w:rsidRPr="00825A8F" w:rsidRDefault="003D59B9">
      <w:pPr>
        <w:rPr>
          <w:rFonts w:cs="Arial"/>
          <w:szCs w:val="24"/>
        </w:rPr>
      </w:pPr>
      <w:r w:rsidRPr="00825A8F">
        <w:rPr>
          <w:rFonts w:cs="Arial"/>
          <w:szCs w:val="24"/>
        </w:rPr>
        <w:lastRenderedPageBreak/>
        <w:t xml:space="preserve">Using the same information on infrastructure costs that was used to generate the country estimates for infrastructure spending to support the AFVs in operation by 2030, estimates of past spending on infrastructure total $8.2 billion for the selected regions. Total spending in Europe was the highest at $3.6 billion. </w:t>
      </w:r>
      <w:r w:rsidR="00E41E41" w:rsidRPr="00825A8F">
        <w:rPr>
          <w:rFonts w:cs="Arial"/>
          <w:szCs w:val="24"/>
        </w:rPr>
        <w:t xml:space="preserve">China spent the second most at </w:t>
      </w:r>
      <w:r w:rsidR="00575998" w:rsidRPr="00825A8F">
        <w:rPr>
          <w:rFonts w:cs="Arial"/>
          <w:szCs w:val="24"/>
        </w:rPr>
        <w:t>$</w:t>
      </w:r>
      <w:r w:rsidR="00E41E41" w:rsidRPr="00825A8F">
        <w:rPr>
          <w:rFonts w:cs="Arial"/>
          <w:szCs w:val="24"/>
        </w:rPr>
        <w:t>2.6 billion, and the</w:t>
      </w:r>
      <w:r w:rsidRPr="00825A8F">
        <w:rPr>
          <w:rFonts w:cs="Arial"/>
          <w:szCs w:val="24"/>
        </w:rPr>
        <w:t xml:space="preserve"> United States</w:t>
      </w:r>
      <w:r w:rsidR="00E41E41" w:rsidRPr="00825A8F">
        <w:rPr>
          <w:rFonts w:cs="Arial"/>
          <w:szCs w:val="24"/>
        </w:rPr>
        <w:t xml:space="preserve"> spent $2.0 billion</w:t>
      </w:r>
      <w:r w:rsidRPr="00825A8F">
        <w:rPr>
          <w:rFonts w:cs="Arial"/>
          <w:szCs w:val="24"/>
        </w:rPr>
        <w:t>.</w:t>
      </w:r>
    </w:p>
    <w:p w:rsidR="00E41E41" w:rsidRPr="00825A8F" w:rsidRDefault="00E41E41">
      <w:pPr>
        <w:rPr>
          <w:rFonts w:cs="Arial"/>
          <w:szCs w:val="24"/>
        </w:rPr>
      </w:pPr>
      <w:r w:rsidRPr="00825A8F">
        <w:rPr>
          <w:rFonts w:cs="Arial"/>
          <w:szCs w:val="24"/>
        </w:rPr>
        <w:t>Subtracting the values calculated for previous infrastructure spending from the tota</w:t>
      </w:r>
      <w:r w:rsidR="002B513D" w:rsidRPr="00825A8F">
        <w:rPr>
          <w:rFonts w:cs="Arial"/>
          <w:szCs w:val="24"/>
        </w:rPr>
        <w:t xml:space="preserve">l required by 2030 results in </w:t>
      </w:r>
      <w:r w:rsidR="00575998" w:rsidRPr="00825A8F">
        <w:rPr>
          <w:rFonts w:cs="Arial"/>
          <w:szCs w:val="24"/>
        </w:rPr>
        <w:t>$</w:t>
      </w:r>
      <w:r w:rsidR="002B513D" w:rsidRPr="00825A8F">
        <w:rPr>
          <w:rFonts w:cs="Arial"/>
          <w:szCs w:val="24"/>
        </w:rPr>
        <w:t>86.6</w:t>
      </w:r>
      <w:r w:rsidRPr="00825A8F">
        <w:rPr>
          <w:rFonts w:cs="Arial"/>
          <w:szCs w:val="24"/>
        </w:rPr>
        <w:t xml:space="preserve"> billion in additional investment between now</w:t>
      </w:r>
      <w:r w:rsidR="00575998" w:rsidRPr="00825A8F">
        <w:rPr>
          <w:rFonts w:cs="Arial"/>
          <w:szCs w:val="24"/>
        </w:rPr>
        <w:t xml:space="preserve"> and 2030 in the selected countrie</w:t>
      </w:r>
      <w:r w:rsidRPr="00825A8F">
        <w:rPr>
          <w:rFonts w:cs="Arial"/>
          <w:szCs w:val="24"/>
        </w:rPr>
        <w:t>s. Europe will ne</w:t>
      </w:r>
      <w:r w:rsidR="002B513D" w:rsidRPr="00825A8F">
        <w:rPr>
          <w:rFonts w:cs="Arial"/>
          <w:szCs w:val="24"/>
        </w:rPr>
        <w:t>ed to invest an additional $38.5</w:t>
      </w:r>
      <w:r w:rsidRPr="00825A8F">
        <w:rPr>
          <w:rFonts w:cs="Arial"/>
          <w:szCs w:val="24"/>
        </w:rPr>
        <w:t xml:space="preserve"> billion, China will</w:t>
      </w:r>
      <w:r w:rsidR="002B513D" w:rsidRPr="00825A8F">
        <w:rPr>
          <w:rFonts w:cs="Arial"/>
          <w:szCs w:val="24"/>
        </w:rPr>
        <w:t xml:space="preserve"> need to invest an additional </w:t>
      </w:r>
      <w:r w:rsidR="00BA7044" w:rsidRPr="00825A8F">
        <w:rPr>
          <w:rFonts w:cs="Arial"/>
          <w:szCs w:val="24"/>
        </w:rPr>
        <w:t>$</w:t>
      </w:r>
      <w:r w:rsidR="002B513D" w:rsidRPr="00825A8F">
        <w:rPr>
          <w:rFonts w:cs="Arial"/>
          <w:szCs w:val="24"/>
        </w:rPr>
        <w:t>31.6</w:t>
      </w:r>
      <w:r w:rsidRPr="00825A8F">
        <w:rPr>
          <w:rFonts w:cs="Arial"/>
          <w:szCs w:val="24"/>
        </w:rPr>
        <w:t xml:space="preserve"> billion, and the United States will n</w:t>
      </w:r>
      <w:r w:rsidR="002B513D" w:rsidRPr="00825A8F">
        <w:rPr>
          <w:rFonts w:cs="Arial"/>
          <w:szCs w:val="24"/>
        </w:rPr>
        <w:t xml:space="preserve">eed to invest an additional </w:t>
      </w:r>
      <w:r w:rsidR="00BA7044" w:rsidRPr="00825A8F">
        <w:rPr>
          <w:rFonts w:cs="Arial"/>
          <w:szCs w:val="24"/>
        </w:rPr>
        <w:t>$</w:t>
      </w:r>
      <w:r w:rsidR="002B513D" w:rsidRPr="00825A8F">
        <w:rPr>
          <w:rFonts w:cs="Arial"/>
          <w:szCs w:val="24"/>
        </w:rPr>
        <w:t>16.5</w:t>
      </w:r>
      <w:r w:rsidRPr="00825A8F">
        <w:rPr>
          <w:rFonts w:cs="Arial"/>
          <w:szCs w:val="24"/>
        </w:rPr>
        <w:t xml:space="preserve"> billion in AFV infrastructure by 2030. </w:t>
      </w:r>
    </w:p>
    <w:p w:rsidR="00473E40" w:rsidRPr="00825A8F" w:rsidRDefault="00AE1177">
      <w:pPr>
        <w:rPr>
          <w:rFonts w:cs="Arial"/>
          <w:szCs w:val="24"/>
        </w:rPr>
      </w:pPr>
      <w:r w:rsidRPr="00825A8F">
        <w:rPr>
          <w:rFonts w:cs="Arial"/>
          <w:szCs w:val="24"/>
        </w:rPr>
        <w:t xml:space="preserve">All four AFV types discussed in this analysis are based on technologies (vehicles and refueling infrastructure) that are more expensive to implement than their gasoline- and diesel-powered equivalents. In addition, some of these vehicles will require substantial adaptation on the part of consumers (e.g., charging at home, more careful planning of routes, and </w:t>
      </w:r>
      <w:r w:rsidR="008513CF" w:rsidRPr="00825A8F">
        <w:rPr>
          <w:rFonts w:cs="Arial"/>
          <w:szCs w:val="24"/>
        </w:rPr>
        <w:t xml:space="preserve">the </w:t>
      </w:r>
      <w:r w:rsidRPr="00825A8F">
        <w:rPr>
          <w:rFonts w:cs="Arial"/>
          <w:szCs w:val="24"/>
        </w:rPr>
        <w:t>us</w:t>
      </w:r>
      <w:r w:rsidR="008513CF" w:rsidRPr="00825A8F">
        <w:rPr>
          <w:rFonts w:cs="Arial"/>
          <w:szCs w:val="24"/>
        </w:rPr>
        <w:t>e of</w:t>
      </w:r>
      <w:r w:rsidRPr="00825A8F">
        <w:rPr>
          <w:rFonts w:cs="Arial"/>
          <w:szCs w:val="24"/>
        </w:rPr>
        <w:t xml:space="preserve"> new refueling infrastructure). Successful adoption will depend on con</w:t>
      </w:r>
      <w:r w:rsidR="003672C2" w:rsidRPr="00825A8F">
        <w:rPr>
          <w:rFonts w:cs="Arial"/>
          <w:szCs w:val="24"/>
        </w:rPr>
        <w:t>sistent and sustained policies</w:t>
      </w:r>
      <w:r w:rsidRPr="00825A8F">
        <w:rPr>
          <w:rFonts w:cs="Arial"/>
          <w:szCs w:val="24"/>
        </w:rPr>
        <w:t xml:space="preserve"> </w:t>
      </w:r>
      <w:r w:rsidR="003672C2" w:rsidRPr="00825A8F">
        <w:rPr>
          <w:rFonts w:cs="Arial"/>
          <w:szCs w:val="24"/>
        </w:rPr>
        <w:t>to promote</w:t>
      </w:r>
      <w:r w:rsidRPr="00825A8F">
        <w:rPr>
          <w:rFonts w:cs="Arial"/>
          <w:szCs w:val="24"/>
        </w:rPr>
        <w:t xml:space="preserve"> </w:t>
      </w:r>
      <w:r w:rsidR="003672C2" w:rsidRPr="00825A8F">
        <w:rPr>
          <w:rFonts w:cs="Arial"/>
          <w:szCs w:val="24"/>
        </w:rPr>
        <w:t>the adoption of AFVs and required support infrastructure</w:t>
      </w:r>
      <w:r w:rsidRPr="00825A8F">
        <w:rPr>
          <w:rFonts w:cs="Arial"/>
          <w:szCs w:val="24"/>
        </w:rPr>
        <w:t>.</w:t>
      </w:r>
      <w:r w:rsidR="00473E40" w:rsidRPr="00825A8F">
        <w:rPr>
          <w:rFonts w:cs="Arial"/>
          <w:szCs w:val="24"/>
        </w:rPr>
        <w:br w:type="page"/>
      </w:r>
    </w:p>
    <w:p w:rsidR="00984B07" w:rsidRDefault="00984B07">
      <w:pPr>
        <w:rPr>
          <w:rFonts w:eastAsia="Times New Roman" w:cstheme="minorHAnsi"/>
          <w:b/>
          <w:bCs/>
          <w:caps/>
          <w:color w:val="365F91" w:themeColor="accent1" w:themeShade="BF"/>
          <w:kern w:val="32"/>
          <w:sz w:val="32"/>
          <w:szCs w:val="24"/>
          <w:lang w:val="x-none" w:eastAsia="x-none"/>
        </w:rPr>
      </w:pPr>
      <w:r>
        <w:lastRenderedPageBreak/>
        <w:br w:type="page"/>
      </w:r>
    </w:p>
    <w:p w:rsidR="001C5A67" w:rsidRPr="008720F3" w:rsidRDefault="001C5A67" w:rsidP="00825A8F">
      <w:pPr>
        <w:pStyle w:val="Heading1"/>
      </w:pPr>
      <w:bookmarkStart w:id="61" w:name="_Toc352854206"/>
      <w:r w:rsidRPr="008720F3">
        <w:lastRenderedPageBreak/>
        <w:t>FINANCING MODELS TO SUPPORT INFRASTRUCTURE INVESTMENT</w:t>
      </w:r>
      <w:bookmarkEnd w:id="61"/>
    </w:p>
    <w:p w:rsidR="005C281A" w:rsidRPr="00825A8F" w:rsidRDefault="005C281A" w:rsidP="005C281A">
      <w:pPr>
        <w:rPr>
          <w:rFonts w:cs="Arial"/>
          <w:szCs w:val="24"/>
        </w:rPr>
      </w:pPr>
      <w:r w:rsidRPr="00825A8F">
        <w:rPr>
          <w:rFonts w:cs="Arial"/>
          <w:szCs w:val="24"/>
        </w:rPr>
        <w:t>Many types of infrastructure can be classified as “public goods.”</w:t>
      </w:r>
      <w:r w:rsidR="0037255D" w:rsidRPr="00825A8F">
        <w:rPr>
          <w:rFonts w:cs="Arial"/>
          <w:szCs w:val="24"/>
        </w:rPr>
        <w:t xml:space="preserve"> </w:t>
      </w:r>
      <w:r w:rsidRPr="00825A8F">
        <w:rPr>
          <w:rFonts w:cs="Arial"/>
          <w:szCs w:val="24"/>
        </w:rPr>
        <w:t>The consumption of these goods cannot exclude many from using it.</w:t>
      </w:r>
      <w:r w:rsidR="0037255D" w:rsidRPr="00825A8F">
        <w:rPr>
          <w:rFonts w:cs="Arial"/>
          <w:szCs w:val="24"/>
        </w:rPr>
        <w:t xml:space="preserve"> </w:t>
      </w:r>
      <w:r w:rsidRPr="00825A8F">
        <w:rPr>
          <w:rFonts w:cs="Arial"/>
          <w:szCs w:val="24"/>
        </w:rPr>
        <w:t>Air quality, parks, national defense, and roads are examples of goods which have such attributes.</w:t>
      </w:r>
      <w:r w:rsidR="0037255D" w:rsidRPr="00825A8F">
        <w:rPr>
          <w:rFonts w:cs="Arial"/>
          <w:szCs w:val="24"/>
        </w:rPr>
        <w:t xml:space="preserve"> </w:t>
      </w:r>
      <w:r w:rsidRPr="00825A8F">
        <w:rPr>
          <w:rFonts w:cs="Arial"/>
          <w:szCs w:val="24"/>
        </w:rPr>
        <w:t>This matters greatly in our discussion of funding approaches</w:t>
      </w:r>
      <w:r w:rsidR="008513CF" w:rsidRPr="00825A8F">
        <w:rPr>
          <w:rFonts w:cs="Arial"/>
          <w:szCs w:val="24"/>
        </w:rPr>
        <w:t>,</w:t>
      </w:r>
      <w:r w:rsidRPr="00825A8F">
        <w:rPr>
          <w:rFonts w:cs="Arial"/>
          <w:szCs w:val="24"/>
        </w:rPr>
        <w:t xml:space="preserve"> since public goods tend to be underfunded.</w:t>
      </w:r>
      <w:r w:rsidR="0037255D" w:rsidRPr="00825A8F">
        <w:rPr>
          <w:rFonts w:cs="Arial"/>
          <w:szCs w:val="24"/>
        </w:rPr>
        <w:t xml:space="preserve"> </w:t>
      </w:r>
      <w:r w:rsidRPr="00825A8F">
        <w:rPr>
          <w:rFonts w:cs="Arial"/>
          <w:szCs w:val="24"/>
        </w:rPr>
        <w:t>Unless there is an ability to obtain a private return on the investment by “privatizing” the good, the business case for supporting the infrastructure is challenging.</w:t>
      </w:r>
      <w:r w:rsidR="0037255D" w:rsidRPr="00825A8F">
        <w:rPr>
          <w:rFonts w:cs="Arial"/>
          <w:szCs w:val="24"/>
        </w:rPr>
        <w:t xml:space="preserve"> </w:t>
      </w:r>
      <w:r w:rsidRPr="00825A8F">
        <w:rPr>
          <w:rFonts w:cs="Arial"/>
          <w:szCs w:val="24"/>
        </w:rPr>
        <w:t>The existence of the public good attributes of infrastructure is one reason why there has historically been substantial government funding.</w:t>
      </w:r>
    </w:p>
    <w:p w:rsidR="005C281A" w:rsidRPr="00825A8F" w:rsidRDefault="005C281A" w:rsidP="005C281A">
      <w:pPr>
        <w:rPr>
          <w:rFonts w:cs="Arial"/>
          <w:szCs w:val="24"/>
        </w:rPr>
      </w:pPr>
      <w:r w:rsidRPr="00825A8F">
        <w:rPr>
          <w:rFonts w:cs="Arial"/>
          <w:szCs w:val="24"/>
        </w:rPr>
        <w:t>There are many benefits to infrastructure investment and promoting funding approaches which incentivize such activity.</w:t>
      </w:r>
      <w:r w:rsidR="0037255D" w:rsidRPr="00825A8F">
        <w:rPr>
          <w:rFonts w:cs="Arial"/>
          <w:szCs w:val="24"/>
        </w:rPr>
        <w:t xml:space="preserve"> </w:t>
      </w:r>
      <w:r w:rsidRPr="00825A8F">
        <w:rPr>
          <w:rFonts w:cs="Arial"/>
          <w:szCs w:val="24"/>
        </w:rPr>
        <w:t>Infrastructure investment is well documented in its benefit to economies</w:t>
      </w:r>
      <w:r w:rsidR="008513CF" w:rsidRPr="00825A8F">
        <w:rPr>
          <w:rFonts w:cs="Arial"/>
          <w:szCs w:val="24"/>
        </w:rPr>
        <w:t>,</w:t>
      </w:r>
      <w:r w:rsidRPr="00825A8F">
        <w:rPr>
          <w:rFonts w:cs="Arial"/>
          <w:szCs w:val="24"/>
        </w:rPr>
        <w:t xml:space="preserve"> both in terms of jobs and future productivity.</w:t>
      </w:r>
      <w:r w:rsidR="0037255D" w:rsidRPr="00825A8F">
        <w:rPr>
          <w:rFonts w:cs="Arial"/>
          <w:szCs w:val="24"/>
        </w:rPr>
        <w:t xml:space="preserve"> </w:t>
      </w:r>
      <w:r w:rsidRPr="00825A8F">
        <w:rPr>
          <w:rFonts w:cs="Arial"/>
          <w:szCs w:val="24"/>
        </w:rPr>
        <w:t>One recent study evaluated the employment effects of U.S. infrastructure spending and found that 18,000 jobs (direct, indirect, and induced) could be created for every $1 billion of new investment spending.</w:t>
      </w:r>
      <w:r w:rsidRPr="00825A8F">
        <w:rPr>
          <w:rStyle w:val="FootnoteReference"/>
          <w:rFonts w:cs="Arial"/>
          <w:szCs w:val="24"/>
        </w:rPr>
        <w:footnoteReference w:id="154"/>
      </w:r>
      <w:r w:rsidR="0037255D" w:rsidRPr="00825A8F">
        <w:rPr>
          <w:rFonts w:cs="Arial"/>
          <w:szCs w:val="24"/>
        </w:rPr>
        <w:t xml:space="preserve"> </w:t>
      </w:r>
      <w:r w:rsidRPr="00825A8F">
        <w:rPr>
          <w:rFonts w:cs="Arial"/>
          <w:szCs w:val="24"/>
        </w:rPr>
        <w:t>The study results indicate that this is more job creation than would materialize from a tax cut of similar size.</w:t>
      </w:r>
      <w:r w:rsidR="0037255D" w:rsidRPr="00825A8F">
        <w:rPr>
          <w:rFonts w:cs="Arial"/>
          <w:szCs w:val="24"/>
        </w:rPr>
        <w:t xml:space="preserve"> </w:t>
      </w:r>
      <w:r w:rsidRPr="00825A8F">
        <w:rPr>
          <w:rFonts w:cs="Arial"/>
          <w:szCs w:val="24"/>
        </w:rPr>
        <w:t>Infrastructure spending is particularly supportive of construction and manufacturing employment, which tend to be good paying middle class jobs.</w:t>
      </w:r>
      <w:r w:rsidR="0037255D" w:rsidRPr="00825A8F">
        <w:rPr>
          <w:rFonts w:cs="Arial"/>
          <w:szCs w:val="24"/>
        </w:rPr>
        <w:t xml:space="preserve"> </w:t>
      </w:r>
      <w:r w:rsidRPr="00825A8F">
        <w:rPr>
          <w:rFonts w:cs="Arial"/>
          <w:szCs w:val="24"/>
        </w:rPr>
        <w:t>As a supportive</w:t>
      </w:r>
      <w:r w:rsidR="008513CF" w:rsidRPr="00825A8F">
        <w:rPr>
          <w:rFonts w:cs="Arial"/>
          <w:szCs w:val="24"/>
        </w:rPr>
        <w:t xml:space="preserve"> (</w:t>
      </w:r>
      <w:r w:rsidRPr="00825A8F">
        <w:rPr>
          <w:rFonts w:cs="Arial"/>
          <w:szCs w:val="24"/>
        </w:rPr>
        <w:t>albeit tangential</w:t>
      </w:r>
      <w:r w:rsidR="008513CF" w:rsidRPr="00825A8F">
        <w:rPr>
          <w:rFonts w:cs="Arial"/>
          <w:szCs w:val="24"/>
        </w:rPr>
        <w:t>)</w:t>
      </w:r>
      <w:r w:rsidRPr="00825A8F">
        <w:rPr>
          <w:rFonts w:cs="Arial"/>
          <w:szCs w:val="24"/>
        </w:rPr>
        <w:t xml:space="preserve"> study shows, manufacturing employment can have very high jobs multipliers. The Center for Automotive Research has </w:t>
      </w:r>
      <w:r w:rsidR="0037255D" w:rsidRPr="00825A8F">
        <w:rPr>
          <w:rFonts w:cs="Arial"/>
          <w:szCs w:val="24"/>
        </w:rPr>
        <w:t>analyzed</w:t>
      </w:r>
      <w:r w:rsidRPr="00825A8F">
        <w:rPr>
          <w:rFonts w:cs="Arial"/>
          <w:szCs w:val="24"/>
        </w:rPr>
        <w:t xml:space="preserve"> the direct, indirect, and induced jobs multiplier for one automotive factory job.</w:t>
      </w:r>
      <w:r w:rsidR="0037255D" w:rsidRPr="00825A8F">
        <w:rPr>
          <w:rFonts w:cs="Arial"/>
          <w:szCs w:val="24"/>
        </w:rPr>
        <w:t xml:space="preserve"> </w:t>
      </w:r>
      <w:r w:rsidRPr="00825A8F">
        <w:rPr>
          <w:rFonts w:cs="Arial"/>
          <w:szCs w:val="24"/>
        </w:rPr>
        <w:t xml:space="preserve">The </w:t>
      </w:r>
      <w:r w:rsidR="00BA39C4" w:rsidRPr="00825A8F">
        <w:rPr>
          <w:rFonts w:cs="Arial"/>
          <w:szCs w:val="24"/>
        </w:rPr>
        <w:t>most recent update calculated a jobs multiplier of 10.0, meaning that nine additional jobs are created for every one</w:t>
      </w:r>
      <w:r w:rsidRPr="00825A8F">
        <w:rPr>
          <w:rFonts w:cs="Arial"/>
          <w:szCs w:val="24"/>
        </w:rPr>
        <w:t xml:space="preserve"> </w:t>
      </w:r>
      <w:r w:rsidR="00BA39C4" w:rsidRPr="00825A8F">
        <w:rPr>
          <w:rFonts w:cs="Arial"/>
          <w:szCs w:val="24"/>
        </w:rPr>
        <w:t>automotive assembly</w:t>
      </w:r>
      <w:r w:rsidRPr="00825A8F">
        <w:rPr>
          <w:rFonts w:cs="Arial"/>
          <w:szCs w:val="24"/>
        </w:rPr>
        <w:t xml:space="preserve"> job.</w:t>
      </w:r>
      <w:r w:rsidR="00A27E2B" w:rsidRPr="00825A8F">
        <w:rPr>
          <w:rStyle w:val="FootnoteReference"/>
          <w:rFonts w:cs="Arial"/>
          <w:szCs w:val="24"/>
        </w:rPr>
        <w:footnoteReference w:id="155"/>
      </w:r>
      <w:r w:rsidR="0037255D" w:rsidRPr="00825A8F">
        <w:rPr>
          <w:rFonts w:cs="Arial"/>
          <w:szCs w:val="24"/>
        </w:rPr>
        <w:t xml:space="preserve"> </w:t>
      </w:r>
      <w:r w:rsidRPr="00825A8F">
        <w:rPr>
          <w:rFonts w:cs="Arial"/>
          <w:szCs w:val="24"/>
        </w:rPr>
        <w:t>To the extent that infrastructure investment promotes growth in manufacturing, such activity will have substantial payback to employment growth. While this research does not analyze th</w:t>
      </w:r>
      <w:r w:rsidR="008513CF" w:rsidRPr="00825A8F">
        <w:rPr>
          <w:rFonts w:cs="Arial"/>
          <w:szCs w:val="24"/>
        </w:rPr>
        <w:t>at</w:t>
      </w:r>
      <w:r w:rsidRPr="00825A8F">
        <w:rPr>
          <w:rFonts w:cs="Arial"/>
          <w:szCs w:val="24"/>
        </w:rPr>
        <w:t xml:space="preserve"> impact, the study cited supports this assessment.</w:t>
      </w:r>
    </w:p>
    <w:p w:rsidR="005C281A" w:rsidRPr="00825A8F" w:rsidRDefault="005C281A" w:rsidP="005C281A">
      <w:pPr>
        <w:rPr>
          <w:rFonts w:cs="Arial"/>
          <w:szCs w:val="24"/>
        </w:rPr>
      </w:pPr>
      <w:r w:rsidRPr="00825A8F">
        <w:rPr>
          <w:rFonts w:cs="Arial"/>
          <w:szCs w:val="24"/>
        </w:rPr>
        <w:t xml:space="preserve">As discussed </w:t>
      </w:r>
      <w:r w:rsidR="00484578" w:rsidRPr="00825A8F">
        <w:rPr>
          <w:rFonts w:cs="Arial"/>
          <w:szCs w:val="24"/>
        </w:rPr>
        <w:t>previously</w:t>
      </w:r>
      <w:r w:rsidRPr="00825A8F">
        <w:rPr>
          <w:rFonts w:cs="Arial"/>
          <w:szCs w:val="24"/>
        </w:rPr>
        <w:t xml:space="preserve">, several </w:t>
      </w:r>
      <w:r w:rsidR="00BA39C4" w:rsidRPr="00825A8F">
        <w:rPr>
          <w:rFonts w:cs="Arial"/>
          <w:szCs w:val="24"/>
        </w:rPr>
        <w:t>types of fueling infrastructure</w:t>
      </w:r>
      <w:r w:rsidRPr="00825A8F">
        <w:rPr>
          <w:rFonts w:cs="Arial"/>
          <w:szCs w:val="24"/>
        </w:rPr>
        <w:t xml:space="preserve"> can be provided by the private sector with appropriate market incentives for investment.</w:t>
      </w:r>
      <w:r w:rsidR="0037255D" w:rsidRPr="00825A8F">
        <w:rPr>
          <w:rFonts w:cs="Arial"/>
          <w:szCs w:val="24"/>
        </w:rPr>
        <w:t xml:space="preserve"> </w:t>
      </w:r>
      <w:r w:rsidRPr="00825A8F">
        <w:rPr>
          <w:rFonts w:cs="Arial"/>
          <w:szCs w:val="24"/>
        </w:rPr>
        <w:t xml:space="preserve">For example, a natural gas distributor has an </w:t>
      </w:r>
      <w:r w:rsidR="00EF05A9" w:rsidRPr="00825A8F">
        <w:rPr>
          <w:rFonts w:cs="Arial"/>
          <w:szCs w:val="24"/>
        </w:rPr>
        <w:t>incentive to build</w:t>
      </w:r>
      <w:r w:rsidRPr="00825A8F">
        <w:rPr>
          <w:rFonts w:cs="Arial"/>
          <w:szCs w:val="24"/>
        </w:rPr>
        <w:t xml:space="preserve"> pipelines to support an expansion of natural gas retail outlets.</w:t>
      </w:r>
      <w:r w:rsidR="0037255D" w:rsidRPr="00825A8F">
        <w:rPr>
          <w:rFonts w:cs="Arial"/>
          <w:szCs w:val="24"/>
        </w:rPr>
        <w:t xml:space="preserve"> </w:t>
      </w:r>
      <w:r w:rsidRPr="00825A8F">
        <w:rPr>
          <w:rFonts w:cs="Arial"/>
          <w:szCs w:val="24"/>
        </w:rPr>
        <w:t>With ample demand, the distributor could charge an embedded fee in the gas transmission price to cover the amortized costs of the infrastructure investment.</w:t>
      </w:r>
      <w:r w:rsidR="0037255D" w:rsidRPr="00825A8F">
        <w:rPr>
          <w:rFonts w:cs="Arial"/>
          <w:szCs w:val="24"/>
        </w:rPr>
        <w:t xml:space="preserve"> </w:t>
      </w:r>
      <w:r w:rsidRPr="00825A8F">
        <w:rPr>
          <w:rFonts w:cs="Arial"/>
          <w:szCs w:val="24"/>
        </w:rPr>
        <w:t>In light of tight governmen</w:t>
      </w:r>
      <w:r w:rsidR="00023FAA" w:rsidRPr="00825A8F">
        <w:rPr>
          <w:rFonts w:cs="Arial"/>
          <w:szCs w:val="24"/>
        </w:rPr>
        <w:t>t budgets, infrastructure build-</w:t>
      </w:r>
      <w:r w:rsidRPr="00825A8F">
        <w:rPr>
          <w:rFonts w:cs="Arial"/>
          <w:szCs w:val="24"/>
        </w:rPr>
        <w:t>out of natural gas infrastructure may be more forthcoming than for other, more expensive infrastructure with public good attributes.</w:t>
      </w:r>
    </w:p>
    <w:p w:rsidR="005C281A" w:rsidRPr="00825A8F" w:rsidRDefault="00BA39C4" w:rsidP="005C281A">
      <w:pPr>
        <w:rPr>
          <w:rFonts w:cs="Arial"/>
          <w:szCs w:val="24"/>
        </w:rPr>
      </w:pPr>
      <w:r w:rsidRPr="00825A8F">
        <w:rPr>
          <w:rFonts w:cs="Arial"/>
          <w:szCs w:val="24"/>
        </w:rPr>
        <w:t>Economic theory shows that</w:t>
      </w:r>
      <w:r w:rsidR="00484578" w:rsidRPr="00825A8F">
        <w:rPr>
          <w:rFonts w:cs="Arial"/>
          <w:szCs w:val="24"/>
        </w:rPr>
        <w:t xml:space="preserve"> </w:t>
      </w:r>
      <w:r w:rsidR="005C281A" w:rsidRPr="00825A8F">
        <w:rPr>
          <w:rFonts w:cs="Arial"/>
          <w:szCs w:val="24"/>
        </w:rPr>
        <w:t>public sector provision of infrastructure which has public good attributes is justified.</w:t>
      </w:r>
      <w:r w:rsidR="0037255D" w:rsidRPr="00825A8F">
        <w:rPr>
          <w:rFonts w:cs="Arial"/>
          <w:szCs w:val="24"/>
        </w:rPr>
        <w:t xml:space="preserve"> </w:t>
      </w:r>
      <w:r w:rsidR="005C281A" w:rsidRPr="00825A8F">
        <w:rPr>
          <w:rFonts w:cs="Arial"/>
          <w:szCs w:val="24"/>
        </w:rPr>
        <w:t xml:space="preserve">Left to the private sector, such infrastructure would not be funded to the optimal point where </w:t>
      </w:r>
      <w:r w:rsidR="005C281A" w:rsidRPr="00825A8F">
        <w:rPr>
          <w:rFonts w:cs="Arial"/>
          <w:szCs w:val="24"/>
        </w:rPr>
        <w:lastRenderedPageBreak/>
        <w:t>social benefits exceed social costs.</w:t>
      </w:r>
      <w:r w:rsidR="0037255D" w:rsidRPr="00825A8F">
        <w:rPr>
          <w:rFonts w:cs="Arial"/>
          <w:szCs w:val="24"/>
        </w:rPr>
        <w:t xml:space="preserve"> </w:t>
      </w:r>
      <w:r w:rsidR="005C281A" w:rsidRPr="00825A8F">
        <w:rPr>
          <w:rFonts w:cs="Arial"/>
          <w:szCs w:val="24"/>
        </w:rPr>
        <w:t>The private sector underprovision of infrastructure is documented in economic literature.</w:t>
      </w:r>
      <w:r w:rsidR="005C281A" w:rsidRPr="00825A8F">
        <w:rPr>
          <w:rStyle w:val="FootnoteReference"/>
          <w:rFonts w:cs="Arial"/>
          <w:szCs w:val="24"/>
        </w:rPr>
        <w:footnoteReference w:id="156"/>
      </w:r>
    </w:p>
    <w:p w:rsidR="005476EF" w:rsidRPr="00825A8F" w:rsidRDefault="005C281A" w:rsidP="005C281A">
      <w:pPr>
        <w:rPr>
          <w:rFonts w:cs="Arial"/>
          <w:szCs w:val="24"/>
        </w:rPr>
      </w:pPr>
      <w:r w:rsidRPr="00825A8F">
        <w:rPr>
          <w:rFonts w:cs="Arial"/>
          <w:szCs w:val="24"/>
        </w:rPr>
        <w:t>At the same time, as was the case in Brazil, there may be public policy objectives</w:t>
      </w:r>
      <w:r w:rsidR="00BA39C4" w:rsidRPr="00825A8F">
        <w:rPr>
          <w:rFonts w:cs="Arial"/>
          <w:szCs w:val="24"/>
        </w:rPr>
        <w:t xml:space="preserve"> </w:t>
      </w:r>
      <w:r w:rsidR="00484578" w:rsidRPr="00825A8F">
        <w:rPr>
          <w:rFonts w:cs="Arial"/>
          <w:szCs w:val="24"/>
        </w:rPr>
        <w:t>(</w:t>
      </w:r>
      <w:r w:rsidRPr="00825A8F">
        <w:rPr>
          <w:rFonts w:cs="Arial"/>
          <w:szCs w:val="24"/>
        </w:rPr>
        <w:t>regardless of the public-private infrastructure attributes</w:t>
      </w:r>
      <w:r w:rsidR="00484578" w:rsidRPr="00825A8F">
        <w:rPr>
          <w:rFonts w:cs="Arial"/>
          <w:szCs w:val="24"/>
        </w:rPr>
        <w:t>)</w:t>
      </w:r>
      <w:r w:rsidRPr="00825A8F">
        <w:rPr>
          <w:rFonts w:cs="Arial"/>
          <w:szCs w:val="24"/>
        </w:rPr>
        <w:t xml:space="preserve"> which would warrant sizable public sector investment.</w:t>
      </w:r>
      <w:r w:rsidR="0037255D" w:rsidRPr="00825A8F">
        <w:rPr>
          <w:rFonts w:cs="Arial"/>
          <w:szCs w:val="24"/>
        </w:rPr>
        <w:t xml:space="preserve"> </w:t>
      </w:r>
      <w:r w:rsidR="00484578" w:rsidRPr="00825A8F">
        <w:rPr>
          <w:rFonts w:cs="Arial"/>
          <w:szCs w:val="24"/>
        </w:rPr>
        <w:t>In</w:t>
      </w:r>
      <w:r w:rsidR="005476EF" w:rsidRPr="00825A8F">
        <w:rPr>
          <w:rFonts w:cs="Arial"/>
          <w:szCs w:val="24"/>
        </w:rPr>
        <w:t xml:space="preserve"> Brazil, the government</w:t>
      </w:r>
      <w:r w:rsidRPr="00825A8F">
        <w:rPr>
          <w:rFonts w:cs="Arial"/>
          <w:szCs w:val="24"/>
        </w:rPr>
        <w:t xml:space="preserve"> saw a need to support domestic </w:t>
      </w:r>
      <w:r w:rsidR="005476EF" w:rsidRPr="00825A8F">
        <w:rPr>
          <w:rFonts w:cs="Arial"/>
          <w:szCs w:val="24"/>
        </w:rPr>
        <w:t>agricultural interests that were already producing sugar and alcohol</w:t>
      </w:r>
      <w:r w:rsidRPr="00825A8F">
        <w:rPr>
          <w:rFonts w:cs="Arial"/>
          <w:szCs w:val="24"/>
        </w:rPr>
        <w:t>, as well as to reduce the country’s dependence on oil.</w:t>
      </w:r>
      <w:r w:rsidR="0037255D" w:rsidRPr="00825A8F">
        <w:rPr>
          <w:rFonts w:cs="Arial"/>
          <w:szCs w:val="24"/>
        </w:rPr>
        <w:t xml:space="preserve"> </w:t>
      </w:r>
      <w:r w:rsidRPr="00825A8F">
        <w:rPr>
          <w:rFonts w:cs="Arial"/>
          <w:szCs w:val="24"/>
        </w:rPr>
        <w:t>As a result</w:t>
      </w:r>
      <w:r w:rsidR="005476EF" w:rsidRPr="00825A8F">
        <w:rPr>
          <w:rFonts w:cs="Arial"/>
          <w:szCs w:val="24"/>
        </w:rPr>
        <w:t xml:space="preserve"> of government intervention</w:t>
      </w:r>
      <w:r w:rsidRPr="00825A8F">
        <w:rPr>
          <w:rFonts w:cs="Arial"/>
          <w:szCs w:val="24"/>
        </w:rPr>
        <w:t xml:space="preserve">, </w:t>
      </w:r>
      <w:r w:rsidR="005476EF" w:rsidRPr="00825A8F">
        <w:rPr>
          <w:rFonts w:cs="Arial"/>
          <w:szCs w:val="24"/>
        </w:rPr>
        <w:t>Brazil’s fuel infrastructure was quickly transformed by the development of infrastructure</w:t>
      </w:r>
      <w:r w:rsidRPr="00825A8F">
        <w:rPr>
          <w:rFonts w:cs="Arial"/>
          <w:szCs w:val="24"/>
        </w:rPr>
        <w:t xml:space="preserve"> </w:t>
      </w:r>
      <w:r w:rsidR="005476EF" w:rsidRPr="00825A8F">
        <w:rPr>
          <w:rFonts w:cs="Arial"/>
          <w:szCs w:val="24"/>
        </w:rPr>
        <w:t>needed to produce, distribute, and dispense ethanol.</w:t>
      </w:r>
    </w:p>
    <w:p w:rsidR="001A3C05" w:rsidRPr="00825A8F" w:rsidRDefault="00023FAA" w:rsidP="005C281A">
      <w:pPr>
        <w:rPr>
          <w:rFonts w:cs="Arial"/>
          <w:szCs w:val="24"/>
        </w:rPr>
      </w:pPr>
      <w:r w:rsidRPr="00825A8F">
        <w:rPr>
          <w:rFonts w:cs="Arial"/>
          <w:szCs w:val="24"/>
        </w:rPr>
        <w:t xml:space="preserve">There are many methods that can be used to provide support for AFV infrastructure. These include direct public support, the use of infrastructure banks, </w:t>
      </w:r>
      <w:r w:rsidR="00D904E0" w:rsidRPr="00825A8F">
        <w:rPr>
          <w:rFonts w:cs="Arial"/>
          <w:szCs w:val="24"/>
        </w:rPr>
        <w:t xml:space="preserve">formation of </w:t>
      </w:r>
      <w:r w:rsidRPr="00825A8F">
        <w:rPr>
          <w:rFonts w:cs="Arial"/>
          <w:szCs w:val="24"/>
        </w:rPr>
        <w:t>public-private p</w:t>
      </w:r>
      <w:r w:rsidR="00D904E0" w:rsidRPr="00825A8F">
        <w:rPr>
          <w:rFonts w:cs="Arial"/>
          <w:szCs w:val="24"/>
        </w:rPr>
        <w:t>artnerships, and private financing</w:t>
      </w:r>
      <w:r w:rsidRPr="00825A8F">
        <w:rPr>
          <w:rFonts w:cs="Arial"/>
          <w:szCs w:val="24"/>
        </w:rPr>
        <w:t xml:space="preserve"> </w:t>
      </w:r>
      <w:r w:rsidR="00484578" w:rsidRPr="00825A8F">
        <w:rPr>
          <w:rFonts w:cs="Arial"/>
          <w:szCs w:val="24"/>
        </w:rPr>
        <w:t>(</w:t>
      </w:r>
      <w:r w:rsidRPr="00825A8F">
        <w:rPr>
          <w:rFonts w:cs="Arial"/>
          <w:szCs w:val="24"/>
        </w:rPr>
        <w:t xml:space="preserve">including </w:t>
      </w:r>
      <w:r w:rsidR="00D904E0" w:rsidRPr="00825A8F">
        <w:rPr>
          <w:rFonts w:cs="Arial"/>
          <w:szCs w:val="24"/>
        </w:rPr>
        <w:t xml:space="preserve">innovative </w:t>
      </w:r>
      <w:r w:rsidR="005B6722" w:rsidRPr="00825A8F">
        <w:rPr>
          <w:rFonts w:cs="Arial"/>
          <w:szCs w:val="24"/>
        </w:rPr>
        <w:t>mechanisms such as “green bonds</w:t>
      </w:r>
      <w:r w:rsidR="00D904E0" w:rsidRPr="00825A8F">
        <w:rPr>
          <w:rFonts w:cs="Arial"/>
          <w:szCs w:val="24"/>
        </w:rPr>
        <w:t>”</w:t>
      </w:r>
      <w:r w:rsidR="00484578" w:rsidRPr="00825A8F">
        <w:rPr>
          <w:rFonts w:cs="Arial"/>
          <w:szCs w:val="24"/>
        </w:rPr>
        <w:t>)</w:t>
      </w:r>
      <w:r w:rsidR="005B6722" w:rsidRPr="00825A8F">
        <w:rPr>
          <w:rFonts w:cs="Arial"/>
          <w:szCs w:val="24"/>
        </w:rPr>
        <w:t>.</w:t>
      </w:r>
      <w:r w:rsidR="00D904E0" w:rsidRPr="00825A8F">
        <w:rPr>
          <w:rFonts w:cs="Arial"/>
          <w:szCs w:val="24"/>
        </w:rPr>
        <w:t xml:space="preserve"> These</w:t>
      </w:r>
      <w:r w:rsidRPr="00825A8F">
        <w:rPr>
          <w:rFonts w:cs="Arial"/>
          <w:szCs w:val="24"/>
        </w:rPr>
        <w:t xml:space="preserve"> </w:t>
      </w:r>
      <w:r w:rsidR="00D904E0" w:rsidRPr="00825A8F">
        <w:rPr>
          <w:rFonts w:cs="Arial"/>
          <w:szCs w:val="24"/>
        </w:rPr>
        <w:t xml:space="preserve">methods </w:t>
      </w:r>
      <w:r w:rsidR="00484578" w:rsidRPr="00825A8F">
        <w:rPr>
          <w:rFonts w:cs="Arial"/>
          <w:szCs w:val="24"/>
        </w:rPr>
        <w:t>are</w:t>
      </w:r>
      <w:r w:rsidR="00D904E0" w:rsidRPr="00825A8F">
        <w:rPr>
          <w:rFonts w:cs="Arial"/>
          <w:szCs w:val="24"/>
        </w:rPr>
        <w:t xml:space="preserve"> described in the following sections along with examples of how they have been used in the past and how they could be used to further the development of AFV infrastructure.</w:t>
      </w:r>
    </w:p>
    <w:p w:rsidR="001C5A67" w:rsidRPr="008720F3" w:rsidRDefault="005476EF" w:rsidP="00825A8F">
      <w:pPr>
        <w:pStyle w:val="Heading2"/>
      </w:pPr>
      <w:bookmarkStart w:id="62" w:name="_Toc352854207"/>
      <w:r w:rsidRPr="008720F3">
        <w:t xml:space="preserve">Public </w:t>
      </w:r>
      <w:r w:rsidR="00FC65A3" w:rsidRPr="008720F3">
        <w:t>Support</w:t>
      </w:r>
      <w:bookmarkEnd w:id="62"/>
    </w:p>
    <w:p w:rsidR="00E821BF" w:rsidRPr="00825A8F" w:rsidRDefault="00D92A03" w:rsidP="00221BEF">
      <w:pPr>
        <w:rPr>
          <w:rFonts w:cs="Arial"/>
          <w:color w:val="000000" w:themeColor="text1"/>
          <w:szCs w:val="20"/>
        </w:rPr>
      </w:pPr>
      <w:r w:rsidRPr="00825A8F">
        <w:rPr>
          <w:rFonts w:cs="Arial"/>
          <w:color w:val="000000" w:themeColor="text1"/>
          <w:szCs w:val="20"/>
        </w:rPr>
        <w:t>Policy support from national, state, and local government can play a significant role in encouraging the adoption of AFVs and investment in AFV infrastructure. Such support may be required for a few decades if technological prog</w:t>
      </w:r>
      <w:r w:rsidRPr="00825A8F">
        <w:rPr>
          <w:rFonts w:cs="Arial"/>
          <w:color w:val="000000" w:themeColor="text1"/>
          <w:szCs w:val="20"/>
        </w:rPr>
        <w:softHyphen/>
        <w:t>ress is slow. For example, a particular AFV technology may require 20 years of subsidies before it achieves a significant enough share of vehicles in operation to support a functional system of refueling station</w:t>
      </w:r>
      <w:r w:rsidR="00484578" w:rsidRPr="00825A8F">
        <w:rPr>
          <w:rFonts w:cs="Arial"/>
          <w:color w:val="000000" w:themeColor="text1"/>
          <w:szCs w:val="20"/>
        </w:rPr>
        <w:t>s</w:t>
      </w:r>
      <w:r w:rsidRPr="00825A8F">
        <w:rPr>
          <w:rFonts w:cs="Arial"/>
          <w:color w:val="000000" w:themeColor="text1"/>
          <w:szCs w:val="20"/>
        </w:rPr>
        <w:t>.</w:t>
      </w:r>
      <w:r w:rsidRPr="00825A8F">
        <w:rPr>
          <w:rStyle w:val="FootnoteReference"/>
          <w:rFonts w:cs="Arial"/>
          <w:color w:val="000000" w:themeColor="text1"/>
          <w:szCs w:val="24"/>
        </w:rPr>
        <w:footnoteReference w:id="157"/>
      </w:r>
      <w:r w:rsidRPr="00825A8F">
        <w:rPr>
          <w:rFonts w:cs="Arial"/>
          <w:color w:val="000000" w:themeColor="text1"/>
          <w:szCs w:val="20"/>
        </w:rPr>
        <w:t xml:space="preserve"> </w:t>
      </w:r>
    </w:p>
    <w:p w:rsidR="00D92A03" w:rsidRPr="00825A8F" w:rsidRDefault="00D92A03" w:rsidP="00221BEF">
      <w:pPr>
        <w:rPr>
          <w:rFonts w:cs="Arial"/>
          <w:color w:val="000000" w:themeColor="text1"/>
          <w:szCs w:val="20"/>
        </w:rPr>
      </w:pPr>
      <w:r w:rsidRPr="00825A8F">
        <w:rPr>
          <w:rFonts w:cs="Arial"/>
          <w:color w:val="000000" w:themeColor="text1"/>
          <w:szCs w:val="20"/>
        </w:rPr>
        <w:t xml:space="preserve">AFVs have enjoyed significant public support in the past. </w:t>
      </w:r>
      <w:r w:rsidR="00484578" w:rsidRPr="00825A8F">
        <w:rPr>
          <w:rFonts w:cs="Arial"/>
          <w:color w:val="000000" w:themeColor="text1"/>
          <w:szCs w:val="20"/>
        </w:rPr>
        <w:t>I</w:t>
      </w:r>
      <w:r w:rsidRPr="00825A8F">
        <w:rPr>
          <w:rFonts w:cs="Arial"/>
          <w:color w:val="000000" w:themeColor="text1"/>
          <w:szCs w:val="20"/>
        </w:rPr>
        <w:t xml:space="preserve">n </w:t>
      </w:r>
      <w:r w:rsidR="00E821BF" w:rsidRPr="00825A8F">
        <w:rPr>
          <w:rFonts w:cs="Arial"/>
          <w:color w:val="000000" w:themeColor="text1"/>
          <w:szCs w:val="20"/>
        </w:rPr>
        <w:t xml:space="preserve">addition to the many programs offered in </w:t>
      </w:r>
      <w:r w:rsidRPr="00825A8F">
        <w:rPr>
          <w:rFonts w:cs="Arial"/>
          <w:color w:val="000000" w:themeColor="text1"/>
          <w:szCs w:val="20"/>
        </w:rPr>
        <w:t xml:space="preserve">the United States, 28 states have some </w:t>
      </w:r>
      <w:r w:rsidR="00484578" w:rsidRPr="00825A8F">
        <w:rPr>
          <w:rFonts w:cs="Arial"/>
          <w:color w:val="000000" w:themeColor="text1"/>
          <w:szCs w:val="20"/>
        </w:rPr>
        <w:t>type</w:t>
      </w:r>
      <w:r w:rsidRPr="00825A8F">
        <w:rPr>
          <w:rFonts w:cs="Arial"/>
          <w:color w:val="000000" w:themeColor="text1"/>
          <w:szCs w:val="20"/>
        </w:rPr>
        <w:t xml:space="preserve"> of grant program to support AFVS</w:t>
      </w:r>
      <w:r w:rsidR="005B6722" w:rsidRPr="00825A8F">
        <w:rPr>
          <w:rFonts w:cs="Arial"/>
          <w:color w:val="000000" w:themeColor="text1"/>
          <w:szCs w:val="20"/>
        </w:rPr>
        <w:t>,</w:t>
      </w:r>
      <w:r w:rsidRPr="00825A8F">
        <w:rPr>
          <w:rFonts w:cs="Arial"/>
          <w:color w:val="000000" w:themeColor="text1"/>
          <w:szCs w:val="20"/>
        </w:rPr>
        <w:t xml:space="preserve"> 39 states </w:t>
      </w:r>
      <w:r w:rsidR="00E821BF" w:rsidRPr="00825A8F">
        <w:rPr>
          <w:rFonts w:cs="Arial"/>
          <w:color w:val="000000" w:themeColor="text1"/>
          <w:szCs w:val="20"/>
        </w:rPr>
        <w:t>(and the District of Columbia) have AFV tax incentives, 22 states have AFV loan programs, and 23 states have rebate programs for the purchase of AFVs and fuel.</w:t>
      </w:r>
      <w:r w:rsidR="00E821BF" w:rsidRPr="00825A8F">
        <w:rPr>
          <w:rStyle w:val="FootnoteReference"/>
          <w:rFonts w:cs="Arial"/>
          <w:color w:val="000000" w:themeColor="text1"/>
          <w:szCs w:val="24"/>
        </w:rPr>
        <w:footnoteReference w:id="158"/>
      </w:r>
      <w:r w:rsidR="00E821BF" w:rsidRPr="00825A8F">
        <w:rPr>
          <w:rFonts w:cs="Arial"/>
          <w:color w:val="000000" w:themeColor="text1"/>
          <w:szCs w:val="20"/>
        </w:rPr>
        <w:t xml:space="preserve"> These state programs are not detailed in this paper, but several general types of government support are discussed, including direct government expenditures, municipal bonds, subsidies, and regulatory policies.</w:t>
      </w:r>
    </w:p>
    <w:p w:rsidR="00D54944" w:rsidRPr="008720F3" w:rsidRDefault="00D54944" w:rsidP="00825A8F">
      <w:pPr>
        <w:pStyle w:val="Heading3"/>
      </w:pPr>
      <w:bookmarkStart w:id="63" w:name="_Toc352854208"/>
      <w:r w:rsidRPr="008720F3">
        <w:t>Direct Government Expenditures</w:t>
      </w:r>
      <w:bookmarkEnd w:id="63"/>
    </w:p>
    <w:p w:rsidR="00221BEF" w:rsidRPr="00825A8F" w:rsidRDefault="00221BEF" w:rsidP="00221BEF">
      <w:pPr>
        <w:rPr>
          <w:rFonts w:cs="Arial"/>
          <w:bCs/>
          <w:szCs w:val="20"/>
        </w:rPr>
      </w:pPr>
      <w:r w:rsidRPr="00825A8F">
        <w:rPr>
          <w:rFonts w:cs="Arial"/>
          <w:bCs/>
          <w:szCs w:val="20"/>
        </w:rPr>
        <w:t>The most direct form of government investment in infrastructure would involve the government building, owning, operating, and maintaining</w:t>
      </w:r>
      <w:r w:rsidR="00484578" w:rsidRPr="00825A8F">
        <w:rPr>
          <w:rFonts w:cs="Arial"/>
          <w:bCs/>
          <w:szCs w:val="20"/>
        </w:rPr>
        <w:t xml:space="preserve"> the</w:t>
      </w:r>
      <w:r w:rsidRPr="00825A8F">
        <w:rPr>
          <w:rFonts w:cs="Arial"/>
          <w:bCs/>
          <w:szCs w:val="20"/>
        </w:rPr>
        <w:t xml:space="preserve"> infrastructure. The U.S. highway system is an ex</w:t>
      </w:r>
      <w:r w:rsidR="003A19B6" w:rsidRPr="00825A8F">
        <w:rPr>
          <w:rFonts w:cs="Arial"/>
          <w:bCs/>
          <w:szCs w:val="20"/>
        </w:rPr>
        <w:t xml:space="preserve">ample of such a funding model. </w:t>
      </w:r>
      <w:r w:rsidR="009234A8" w:rsidRPr="00825A8F">
        <w:rPr>
          <w:rFonts w:cs="Arial"/>
          <w:bCs/>
          <w:szCs w:val="20"/>
        </w:rPr>
        <w:t xml:space="preserve">This </w:t>
      </w:r>
      <w:r w:rsidR="005B6722" w:rsidRPr="00825A8F">
        <w:rPr>
          <w:rFonts w:cs="Arial"/>
          <w:bCs/>
          <w:szCs w:val="20"/>
        </w:rPr>
        <w:t xml:space="preserve">model </w:t>
      </w:r>
      <w:r w:rsidRPr="00825A8F">
        <w:rPr>
          <w:rFonts w:cs="Arial"/>
          <w:bCs/>
          <w:szCs w:val="20"/>
        </w:rPr>
        <w:t>would be a very expensive undertaking and could face major public opposition, especially in market economies. A more likely approach would involve the use of direct grants, in which</w:t>
      </w:r>
      <w:r w:rsidR="009234A8" w:rsidRPr="00825A8F">
        <w:rPr>
          <w:rFonts w:cs="Arial"/>
          <w:bCs/>
          <w:szCs w:val="20"/>
        </w:rPr>
        <w:t xml:space="preserve"> the government </w:t>
      </w:r>
      <w:r w:rsidRPr="00825A8F">
        <w:rPr>
          <w:rFonts w:cs="Arial"/>
          <w:bCs/>
          <w:szCs w:val="20"/>
        </w:rPr>
        <w:t>would award grants to organizations. In the United States</w:t>
      </w:r>
      <w:r w:rsidR="00DD7538" w:rsidRPr="00825A8F">
        <w:rPr>
          <w:rFonts w:cs="Arial"/>
          <w:bCs/>
          <w:szCs w:val="20"/>
        </w:rPr>
        <w:t>,</w:t>
      </w:r>
      <w:r w:rsidRPr="00825A8F">
        <w:rPr>
          <w:rFonts w:cs="Arial"/>
          <w:bCs/>
          <w:szCs w:val="20"/>
        </w:rPr>
        <w:t xml:space="preserve"> direct grants are often issued for pre-commercial, high-risk, high-reward research. Recent examples of direct grants </w:t>
      </w:r>
      <w:r w:rsidRPr="00825A8F">
        <w:rPr>
          <w:rFonts w:cs="Arial"/>
          <w:bCs/>
          <w:szCs w:val="20"/>
        </w:rPr>
        <w:lastRenderedPageBreak/>
        <w:t>include ARPA-E grants for a variety of AFV technologies and USDA research grants to spur production of bioenergy and bio-based products.</w:t>
      </w:r>
      <w:r w:rsidRPr="00825A8F">
        <w:rPr>
          <w:rStyle w:val="FootnoteReference"/>
          <w:rFonts w:cs="Arial"/>
          <w:bCs/>
          <w:szCs w:val="20"/>
        </w:rPr>
        <w:footnoteReference w:id="159"/>
      </w:r>
    </w:p>
    <w:p w:rsidR="00D54944" w:rsidRPr="008720F3" w:rsidRDefault="00D54944" w:rsidP="00825A8F">
      <w:pPr>
        <w:pStyle w:val="Heading3"/>
      </w:pPr>
      <w:bookmarkStart w:id="64" w:name="_Toc352854209"/>
      <w:r w:rsidRPr="008720F3">
        <w:t>Municipal Bonds</w:t>
      </w:r>
      <w:bookmarkEnd w:id="64"/>
    </w:p>
    <w:p w:rsidR="00D54944" w:rsidRPr="00825A8F" w:rsidRDefault="00C17162" w:rsidP="00825A8F">
      <w:pPr>
        <w:rPr>
          <w:rFonts w:cs="Arial"/>
          <w:szCs w:val="20"/>
        </w:rPr>
      </w:pPr>
      <w:r w:rsidRPr="00825A8F">
        <w:rPr>
          <w:rFonts w:cs="Arial"/>
          <w:szCs w:val="20"/>
        </w:rPr>
        <w:t xml:space="preserve">One method that a state or local </w:t>
      </w:r>
      <w:r w:rsidR="00FA0130" w:rsidRPr="00825A8F">
        <w:rPr>
          <w:rFonts w:cs="Arial"/>
          <w:szCs w:val="20"/>
        </w:rPr>
        <w:t xml:space="preserve">government can </w:t>
      </w:r>
      <w:r w:rsidR="009234A8" w:rsidRPr="00825A8F">
        <w:rPr>
          <w:rFonts w:cs="Arial"/>
          <w:szCs w:val="20"/>
        </w:rPr>
        <w:t xml:space="preserve">use to </w:t>
      </w:r>
      <w:r w:rsidR="00FA0130" w:rsidRPr="00825A8F">
        <w:rPr>
          <w:rFonts w:cs="Arial"/>
          <w:szCs w:val="20"/>
        </w:rPr>
        <w:t xml:space="preserve">raise money to finance infrastructure needs is through the use of municipal bonds. Such bonds have been used to finance </w:t>
      </w:r>
      <w:r w:rsidR="00D54944" w:rsidRPr="00825A8F">
        <w:rPr>
          <w:rFonts w:cs="Arial"/>
          <w:szCs w:val="20"/>
        </w:rPr>
        <w:t>capital projects</w:t>
      </w:r>
      <w:r w:rsidR="005B6722" w:rsidRPr="00825A8F">
        <w:rPr>
          <w:rFonts w:cs="Arial"/>
          <w:szCs w:val="20"/>
        </w:rPr>
        <w:t>,</w:t>
      </w:r>
      <w:r w:rsidR="00D54944" w:rsidRPr="00825A8F">
        <w:rPr>
          <w:rFonts w:cs="Arial"/>
          <w:szCs w:val="20"/>
        </w:rPr>
        <w:t xml:space="preserve"> such as </w:t>
      </w:r>
      <w:r w:rsidR="00FA0130" w:rsidRPr="00825A8F">
        <w:rPr>
          <w:rFonts w:cs="Arial"/>
          <w:szCs w:val="20"/>
        </w:rPr>
        <w:t xml:space="preserve">transportation </w:t>
      </w:r>
      <w:r w:rsidR="00D54944" w:rsidRPr="00825A8F">
        <w:rPr>
          <w:rFonts w:cs="Arial"/>
          <w:szCs w:val="20"/>
        </w:rPr>
        <w:t>infrastructure</w:t>
      </w:r>
      <w:r w:rsidR="00FA0130" w:rsidRPr="00825A8F">
        <w:rPr>
          <w:rFonts w:cs="Arial"/>
          <w:szCs w:val="20"/>
        </w:rPr>
        <w:t xml:space="preserve"> (e.g.</w:t>
      </w:r>
      <w:r w:rsidR="00BB22D2" w:rsidRPr="00825A8F">
        <w:rPr>
          <w:rFonts w:cs="Arial"/>
          <w:szCs w:val="20"/>
        </w:rPr>
        <w:t>,</w:t>
      </w:r>
      <w:r w:rsidR="00FA0130" w:rsidRPr="00825A8F">
        <w:rPr>
          <w:rFonts w:cs="Arial"/>
          <w:szCs w:val="20"/>
        </w:rPr>
        <w:t xml:space="preserve"> streets, highways, and bridges), schools, hospitals, water and wastewater systems, electric utilities, and other public projects. The</w:t>
      </w:r>
      <w:r w:rsidR="009234A8" w:rsidRPr="00825A8F">
        <w:rPr>
          <w:rFonts w:cs="Arial"/>
          <w:szCs w:val="20"/>
        </w:rPr>
        <w:t>se bonds</w:t>
      </w:r>
      <w:r w:rsidR="00FA0130" w:rsidRPr="00825A8F">
        <w:rPr>
          <w:rFonts w:cs="Arial"/>
          <w:szCs w:val="20"/>
        </w:rPr>
        <w:t xml:space="preserve"> can be issued by states, counties, cities, and other agencies and districts</w:t>
      </w:r>
      <w:r w:rsidR="00C00BEC" w:rsidRPr="00825A8F">
        <w:rPr>
          <w:rFonts w:cs="Arial"/>
          <w:szCs w:val="20"/>
        </w:rPr>
        <w:t>.</w:t>
      </w:r>
      <w:r w:rsidR="00C00BEC" w:rsidRPr="00825A8F">
        <w:rPr>
          <w:rStyle w:val="FootnoteReference"/>
          <w:rFonts w:cs="Arial"/>
          <w:szCs w:val="20"/>
        </w:rPr>
        <w:footnoteReference w:id="160"/>
      </w:r>
      <w:r w:rsidR="00FF6FE5" w:rsidRPr="00825A8F">
        <w:rPr>
          <w:rFonts w:cs="Arial"/>
          <w:szCs w:val="20"/>
        </w:rPr>
        <w:t xml:space="preserve"> </w:t>
      </w:r>
      <w:r w:rsidR="00D54944" w:rsidRPr="00825A8F">
        <w:rPr>
          <w:rFonts w:cs="Arial"/>
          <w:szCs w:val="20"/>
        </w:rPr>
        <w:t>Investors purchasing municipal bonds are essentially lending money to the issuer, and in return will receive interest payments (usually twice a year)</w:t>
      </w:r>
      <w:r w:rsidR="009234A8" w:rsidRPr="00825A8F">
        <w:rPr>
          <w:rFonts w:cs="Arial"/>
          <w:szCs w:val="20"/>
        </w:rPr>
        <w:t>.</w:t>
      </w:r>
      <w:r w:rsidR="00D54944" w:rsidRPr="00825A8F">
        <w:rPr>
          <w:rFonts w:cs="Arial"/>
          <w:szCs w:val="20"/>
        </w:rPr>
        <w:t xml:space="preserve"> </w:t>
      </w:r>
      <w:r w:rsidR="009234A8" w:rsidRPr="00825A8F">
        <w:rPr>
          <w:rFonts w:cs="Arial"/>
          <w:szCs w:val="20"/>
        </w:rPr>
        <w:t>W</w:t>
      </w:r>
      <w:r w:rsidR="00D54944" w:rsidRPr="00825A8F">
        <w:rPr>
          <w:rFonts w:cs="Arial"/>
          <w:szCs w:val="20"/>
        </w:rPr>
        <w:t>hen the bond reaches maturity</w:t>
      </w:r>
      <w:r w:rsidR="005B6722" w:rsidRPr="00825A8F">
        <w:rPr>
          <w:rFonts w:cs="Arial"/>
          <w:szCs w:val="20"/>
        </w:rPr>
        <w:t>—</w:t>
      </w:r>
      <w:r w:rsidR="00D54944" w:rsidRPr="00825A8F">
        <w:rPr>
          <w:rFonts w:cs="Arial"/>
          <w:szCs w:val="20"/>
        </w:rPr>
        <w:t>one to three years for short-term bonds</w:t>
      </w:r>
      <w:r w:rsidR="001C603C" w:rsidRPr="00825A8F">
        <w:rPr>
          <w:rFonts w:cs="Arial"/>
          <w:szCs w:val="20"/>
        </w:rPr>
        <w:t xml:space="preserve"> and,</w:t>
      </w:r>
      <w:r w:rsidR="00D54944" w:rsidRPr="00825A8F">
        <w:rPr>
          <w:rFonts w:cs="Arial"/>
          <w:szCs w:val="20"/>
        </w:rPr>
        <w:t xml:space="preserve"> more than a decade for long-term bonds</w:t>
      </w:r>
      <w:r w:rsidR="005B6722" w:rsidRPr="00825A8F">
        <w:rPr>
          <w:rFonts w:cs="Arial"/>
          <w:szCs w:val="20"/>
        </w:rPr>
        <w:t>—</w:t>
      </w:r>
      <w:r w:rsidR="009234A8" w:rsidRPr="00825A8F">
        <w:rPr>
          <w:rFonts w:cs="Arial"/>
          <w:szCs w:val="20"/>
        </w:rPr>
        <w:t>investors</w:t>
      </w:r>
      <w:r w:rsidR="005B6722" w:rsidRPr="00825A8F">
        <w:rPr>
          <w:rFonts w:cs="Arial"/>
          <w:szCs w:val="20"/>
        </w:rPr>
        <w:t xml:space="preserve"> </w:t>
      </w:r>
      <w:r w:rsidR="00D54944" w:rsidRPr="00825A8F">
        <w:rPr>
          <w:rFonts w:cs="Arial"/>
          <w:szCs w:val="20"/>
        </w:rPr>
        <w:t xml:space="preserve">will receive their principal. </w:t>
      </w:r>
    </w:p>
    <w:p w:rsidR="00003202" w:rsidRPr="00825A8F" w:rsidRDefault="00FF6FE5" w:rsidP="00825A8F">
      <w:pPr>
        <w:rPr>
          <w:rFonts w:cs="Arial"/>
          <w:szCs w:val="20"/>
        </w:rPr>
      </w:pPr>
      <w:r w:rsidRPr="00825A8F">
        <w:rPr>
          <w:rFonts w:cs="Arial"/>
          <w:szCs w:val="20"/>
        </w:rPr>
        <w:t>Municipal bonds are usually exempt from taxes and considered relatively low risk, but provide a relatively low rate of return. Investors may choose to purchase bonds for their stability, especially if they wish to balance out their holdings of higher-risk, higher-return stocks. Payments to bondholders may be general obligations, or they could be tied to specific revenues (e.g.</w:t>
      </w:r>
      <w:r w:rsidR="00BB22D2" w:rsidRPr="00825A8F">
        <w:rPr>
          <w:rFonts w:cs="Arial"/>
          <w:szCs w:val="20"/>
        </w:rPr>
        <w:t>,</w:t>
      </w:r>
      <w:r w:rsidRPr="00825A8F">
        <w:rPr>
          <w:rFonts w:cs="Arial"/>
          <w:szCs w:val="20"/>
        </w:rPr>
        <w:t xml:space="preserve"> rates paid by infrastructure users). </w:t>
      </w:r>
    </w:p>
    <w:p w:rsidR="00FF6FE5" w:rsidRPr="00825A8F" w:rsidRDefault="00003202" w:rsidP="00825A8F">
      <w:pPr>
        <w:rPr>
          <w:rFonts w:cs="Arial"/>
          <w:szCs w:val="20"/>
        </w:rPr>
      </w:pPr>
      <w:r w:rsidRPr="00825A8F">
        <w:rPr>
          <w:rFonts w:cs="Arial"/>
          <w:szCs w:val="20"/>
        </w:rPr>
        <w:t>Bonds are sometimes issued on behalf of private entities</w:t>
      </w:r>
      <w:r w:rsidR="001C603C" w:rsidRPr="00825A8F">
        <w:rPr>
          <w:rFonts w:cs="Arial"/>
          <w:szCs w:val="20"/>
        </w:rPr>
        <w:t>,</w:t>
      </w:r>
      <w:r w:rsidRPr="00825A8F">
        <w:rPr>
          <w:rFonts w:cs="Arial"/>
          <w:szCs w:val="20"/>
        </w:rPr>
        <w:t xml:space="preserve"> such as colleges or hospitals, </w:t>
      </w:r>
      <w:r w:rsidR="009234A8" w:rsidRPr="00825A8F">
        <w:rPr>
          <w:rFonts w:cs="Arial"/>
          <w:szCs w:val="20"/>
        </w:rPr>
        <w:t xml:space="preserve">that </w:t>
      </w:r>
      <w:r w:rsidRPr="00825A8F">
        <w:rPr>
          <w:rFonts w:cs="Arial"/>
          <w:szCs w:val="20"/>
        </w:rPr>
        <w:t>have agreed to repay the issuer.</w:t>
      </w:r>
      <w:r w:rsidR="00C00BEC" w:rsidRPr="00825A8F">
        <w:rPr>
          <w:rStyle w:val="FootnoteReference"/>
          <w:rFonts w:cs="Arial"/>
          <w:szCs w:val="20"/>
        </w:rPr>
        <w:footnoteReference w:id="161"/>
      </w:r>
      <w:r w:rsidRPr="00825A8F">
        <w:rPr>
          <w:rFonts w:cs="Arial"/>
          <w:szCs w:val="20"/>
        </w:rPr>
        <w:t xml:space="preserve"> </w:t>
      </w:r>
      <w:r w:rsidR="00FF6FE5" w:rsidRPr="00825A8F">
        <w:rPr>
          <w:rFonts w:cs="Arial"/>
          <w:szCs w:val="20"/>
        </w:rPr>
        <w:t>State and local governments</w:t>
      </w:r>
      <w:r w:rsidR="009234A8" w:rsidRPr="00825A8F">
        <w:rPr>
          <w:rFonts w:cs="Arial"/>
          <w:szCs w:val="20"/>
        </w:rPr>
        <w:t>,</w:t>
      </w:r>
      <w:r w:rsidR="00FF6FE5" w:rsidRPr="00825A8F">
        <w:rPr>
          <w:rFonts w:cs="Arial"/>
          <w:szCs w:val="20"/>
        </w:rPr>
        <w:t xml:space="preserve"> wishing to encourage adoption of AFVs in particular regions</w:t>
      </w:r>
      <w:r w:rsidR="009234A8" w:rsidRPr="00825A8F">
        <w:rPr>
          <w:rFonts w:cs="Arial"/>
          <w:szCs w:val="20"/>
        </w:rPr>
        <w:t>,</w:t>
      </w:r>
      <w:r w:rsidR="00FF6FE5" w:rsidRPr="00825A8F">
        <w:rPr>
          <w:rFonts w:cs="Arial"/>
          <w:szCs w:val="20"/>
        </w:rPr>
        <w:t xml:space="preserve"> could issue bonds to raise money that could be used to assist in the deployment of fueling infrastructure.</w:t>
      </w:r>
    </w:p>
    <w:p w:rsidR="00003202" w:rsidRPr="008720F3" w:rsidRDefault="008A3F34" w:rsidP="00825A8F">
      <w:pPr>
        <w:pStyle w:val="Heading3"/>
      </w:pPr>
      <w:bookmarkStart w:id="65" w:name="_Toc352854210"/>
      <w:r w:rsidRPr="008720F3">
        <w:t>Subsidies</w:t>
      </w:r>
      <w:bookmarkEnd w:id="65"/>
    </w:p>
    <w:p w:rsidR="00BA42AE" w:rsidRPr="00825A8F" w:rsidRDefault="00003202" w:rsidP="00825A8F">
      <w:pPr>
        <w:rPr>
          <w:rFonts w:cs="Arial"/>
          <w:szCs w:val="20"/>
        </w:rPr>
      </w:pPr>
      <w:r w:rsidRPr="00825A8F">
        <w:rPr>
          <w:rFonts w:cs="Arial"/>
          <w:szCs w:val="20"/>
        </w:rPr>
        <w:t>The use of tax expenditures, or subsidies</w:t>
      </w:r>
      <w:r w:rsidR="008A3F34" w:rsidRPr="00825A8F">
        <w:rPr>
          <w:rFonts w:cs="Arial"/>
          <w:szCs w:val="20"/>
        </w:rPr>
        <w:t>,</w:t>
      </w:r>
      <w:r w:rsidR="00C00BEC" w:rsidRPr="00825A8F">
        <w:rPr>
          <w:rFonts w:cs="Arial"/>
          <w:szCs w:val="20"/>
        </w:rPr>
        <w:t xml:space="preserve"> has seen extensive use as a strategy for green technology adoption. </w:t>
      </w:r>
      <w:r w:rsidR="00990E61" w:rsidRPr="00825A8F">
        <w:rPr>
          <w:rFonts w:cs="Arial"/>
          <w:szCs w:val="20"/>
        </w:rPr>
        <w:t>Unlike t</w:t>
      </w:r>
      <w:r w:rsidR="00C00BEC" w:rsidRPr="00825A8F">
        <w:rPr>
          <w:rFonts w:cs="Arial"/>
          <w:szCs w:val="20"/>
        </w:rPr>
        <w:t xml:space="preserve">he feed-in tariff </w:t>
      </w:r>
      <w:r w:rsidR="00990E61" w:rsidRPr="00825A8F">
        <w:rPr>
          <w:rFonts w:cs="Arial"/>
          <w:szCs w:val="20"/>
        </w:rPr>
        <w:t>which was paid by German utilities (and ultimately ratepayers)</w:t>
      </w:r>
      <w:r w:rsidR="00C00BEC" w:rsidRPr="00825A8F">
        <w:rPr>
          <w:rFonts w:cs="Arial"/>
          <w:szCs w:val="20"/>
        </w:rPr>
        <w:t xml:space="preserve"> to promote the installation </w:t>
      </w:r>
      <w:r w:rsidR="00990E61" w:rsidRPr="00825A8F">
        <w:rPr>
          <w:rFonts w:cs="Arial"/>
          <w:szCs w:val="20"/>
        </w:rPr>
        <w:t>of renewable energy, the United States has used the “Production Tax Credit,” allow</w:t>
      </w:r>
      <w:r w:rsidR="009234A8" w:rsidRPr="00825A8F">
        <w:rPr>
          <w:rFonts w:cs="Arial"/>
          <w:szCs w:val="20"/>
        </w:rPr>
        <w:t>ing</w:t>
      </w:r>
      <w:r w:rsidR="00990E61" w:rsidRPr="00825A8F">
        <w:rPr>
          <w:rFonts w:cs="Arial"/>
          <w:szCs w:val="20"/>
        </w:rPr>
        <w:t xml:space="preserve"> producers of renewable energy to claim a tax credit of 2.2 cents per kilowatt-hour produced for the first decade of operation</w:t>
      </w:r>
      <w:r w:rsidR="00C00BEC" w:rsidRPr="00825A8F">
        <w:rPr>
          <w:rFonts w:cs="Arial"/>
          <w:szCs w:val="20"/>
        </w:rPr>
        <w:t>.</w:t>
      </w:r>
      <w:r w:rsidR="00990E61" w:rsidRPr="00825A8F">
        <w:rPr>
          <w:rStyle w:val="FootnoteReference"/>
          <w:rFonts w:cs="Arial"/>
          <w:szCs w:val="20"/>
        </w:rPr>
        <w:footnoteReference w:id="162"/>
      </w:r>
      <w:r w:rsidR="00E22828" w:rsidRPr="00825A8F">
        <w:rPr>
          <w:rFonts w:cs="Arial"/>
          <w:szCs w:val="20"/>
        </w:rPr>
        <w:t xml:space="preserve"> </w:t>
      </w:r>
      <w:r w:rsidR="00FB33AC" w:rsidRPr="00825A8F">
        <w:rPr>
          <w:rFonts w:cs="Arial"/>
          <w:szCs w:val="20"/>
        </w:rPr>
        <w:t>T</w:t>
      </w:r>
      <w:r w:rsidR="00E22828" w:rsidRPr="00825A8F">
        <w:rPr>
          <w:rFonts w:cs="Arial"/>
          <w:szCs w:val="20"/>
        </w:rPr>
        <w:t xml:space="preserve">ax </w:t>
      </w:r>
      <w:r w:rsidR="00FB33AC" w:rsidRPr="00825A8F">
        <w:rPr>
          <w:rFonts w:cs="Arial"/>
          <w:szCs w:val="20"/>
        </w:rPr>
        <w:t>policy has</w:t>
      </w:r>
      <w:r w:rsidR="00E22828" w:rsidRPr="00825A8F">
        <w:rPr>
          <w:rFonts w:cs="Arial"/>
          <w:szCs w:val="20"/>
        </w:rPr>
        <w:t xml:space="preserve"> bee</w:t>
      </w:r>
      <w:r w:rsidR="00FB33AC" w:rsidRPr="00825A8F">
        <w:rPr>
          <w:rFonts w:cs="Arial"/>
          <w:szCs w:val="20"/>
        </w:rPr>
        <w:t xml:space="preserve">n used </w:t>
      </w:r>
      <w:r w:rsidR="009234A8" w:rsidRPr="00825A8F">
        <w:rPr>
          <w:rFonts w:cs="Arial"/>
          <w:szCs w:val="20"/>
        </w:rPr>
        <w:t xml:space="preserve">to </w:t>
      </w:r>
      <w:r w:rsidR="00FB33AC" w:rsidRPr="00825A8F">
        <w:rPr>
          <w:rFonts w:cs="Arial"/>
          <w:szCs w:val="20"/>
        </w:rPr>
        <w:t>promote AFVs</w:t>
      </w:r>
      <w:r w:rsidR="009234A8" w:rsidRPr="00825A8F">
        <w:rPr>
          <w:rFonts w:cs="Arial"/>
          <w:szCs w:val="20"/>
        </w:rPr>
        <w:t>,</w:t>
      </w:r>
      <w:r w:rsidR="00FB33AC" w:rsidRPr="00825A8F">
        <w:rPr>
          <w:rFonts w:cs="Arial"/>
          <w:szCs w:val="20"/>
        </w:rPr>
        <w:t xml:space="preserve"> either through </w:t>
      </w:r>
      <w:r w:rsidR="006024B7" w:rsidRPr="00825A8F">
        <w:rPr>
          <w:rFonts w:cs="Arial"/>
          <w:szCs w:val="20"/>
        </w:rPr>
        <w:t>tax credits or exemptions on purchasing vehicles, annual registration taxes, home charging infrastructure installation, or alternative fuel production. Several European countries have implemented tax cuts on “low-carbon” vehicles.</w:t>
      </w:r>
      <w:r w:rsidR="00FB33AC" w:rsidRPr="00825A8F">
        <w:rPr>
          <w:rStyle w:val="FootnoteReference"/>
          <w:rFonts w:cs="Arial"/>
          <w:szCs w:val="24"/>
        </w:rPr>
        <w:footnoteReference w:id="163"/>
      </w:r>
      <w:r w:rsidR="00BA42AE" w:rsidRPr="00825A8F">
        <w:rPr>
          <w:rFonts w:cs="Arial"/>
          <w:szCs w:val="20"/>
        </w:rPr>
        <w:t xml:space="preserve"> In the United States, a tax credit of up to $7,500 has been offered for the purchase of electric </w:t>
      </w:r>
      <w:r w:rsidR="00BA42AE" w:rsidRPr="00825A8F">
        <w:rPr>
          <w:rFonts w:cs="Arial"/>
          <w:szCs w:val="20"/>
        </w:rPr>
        <w:lastRenderedPageBreak/>
        <w:t>vehicles.</w:t>
      </w:r>
      <w:r w:rsidR="00BA42AE" w:rsidRPr="00825A8F">
        <w:rPr>
          <w:rStyle w:val="FootnoteReference"/>
          <w:rFonts w:cs="Arial"/>
          <w:szCs w:val="20"/>
        </w:rPr>
        <w:footnoteReference w:id="164"/>
      </w:r>
      <w:r w:rsidR="00BA42AE" w:rsidRPr="00825A8F">
        <w:rPr>
          <w:rFonts w:cs="Arial"/>
          <w:szCs w:val="20"/>
        </w:rPr>
        <w:t xml:space="preserve"> By using tax policy to encourage the adoption of AFVs, governments can help increase demand for alternative fuels and make AFV infrastructure investments more feasible.</w:t>
      </w:r>
    </w:p>
    <w:p w:rsidR="00990E61" w:rsidRPr="00825A8F" w:rsidRDefault="009234A8" w:rsidP="00825A8F">
      <w:pPr>
        <w:rPr>
          <w:rFonts w:cs="Arial"/>
          <w:szCs w:val="20"/>
        </w:rPr>
      </w:pPr>
      <w:r w:rsidRPr="00825A8F">
        <w:rPr>
          <w:rFonts w:cs="Arial"/>
          <w:szCs w:val="20"/>
        </w:rPr>
        <w:t>In addition to the</w:t>
      </w:r>
      <w:r w:rsidR="00BA42AE" w:rsidRPr="00825A8F">
        <w:rPr>
          <w:rFonts w:cs="Arial"/>
          <w:szCs w:val="20"/>
        </w:rPr>
        <w:t xml:space="preserve"> purchase of </w:t>
      </w:r>
      <w:r w:rsidRPr="00825A8F">
        <w:rPr>
          <w:rFonts w:cs="Arial"/>
          <w:szCs w:val="20"/>
        </w:rPr>
        <w:t>AFVs</w:t>
      </w:r>
      <w:r w:rsidR="00BA42AE" w:rsidRPr="00825A8F">
        <w:rPr>
          <w:rFonts w:cs="Arial"/>
          <w:szCs w:val="20"/>
        </w:rPr>
        <w:t xml:space="preserve">, governments have also supported the production of alternative fuels. </w:t>
      </w:r>
      <w:r w:rsidR="008A3F34" w:rsidRPr="00825A8F">
        <w:rPr>
          <w:rFonts w:cs="Arial"/>
          <w:szCs w:val="20"/>
        </w:rPr>
        <w:t>In the United States, v</w:t>
      </w:r>
      <w:r w:rsidR="00BA42AE" w:rsidRPr="00825A8F">
        <w:rPr>
          <w:rFonts w:cs="Arial"/>
          <w:szCs w:val="20"/>
        </w:rPr>
        <w:t xml:space="preserve">arious tax credits and other incentives </w:t>
      </w:r>
      <w:r w:rsidR="008A3F34" w:rsidRPr="00825A8F">
        <w:rPr>
          <w:rFonts w:cs="Arial"/>
          <w:szCs w:val="20"/>
        </w:rPr>
        <w:t>have been</w:t>
      </w:r>
      <w:r w:rsidR="00BA42AE" w:rsidRPr="00825A8F">
        <w:rPr>
          <w:rFonts w:cs="Arial"/>
          <w:szCs w:val="20"/>
        </w:rPr>
        <w:t xml:space="preserve"> made available by</w:t>
      </w:r>
      <w:r w:rsidR="008A3F34" w:rsidRPr="00825A8F">
        <w:rPr>
          <w:rFonts w:cs="Arial"/>
          <w:szCs w:val="20"/>
        </w:rPr>
        <w:t xml:space="preserve"> federal and state governments for</w:t>
      </w:r>
      <w:r w:rsidR="00BA42AE" w:rsidRPr="00825A8F">
        <w:rPr>
          <w:rFonts w:cs="Arial"/>
          <w:szCs w:val="20"/>
        </w:rPr>
        <w:t xml:space="preserve"> prod</w:t>
      </w:r>
      <w:r w:rsidR="008A3F34" w:rsidRPr="00825A8F">
        <w:rPr>
          <w:rFonts w:cs="Arial"/>
          <w:szCs w:val="20"/>
        </w:rPr>
        <w:t>uction, blending, and</w:t>
      </w:r>
      <w:r w:rsidR="00BA42AE" w:rsidRPr="00825A8F">
        <w:rPr>
          <w:rFonts w:cs="Arial"/>
          <w:szCs w:val="20"/>
        </w:rPr>
        <w:t xml:space="preserve"> sale of</w:t>
      </w:r>
      <w:r w:rsidR="008A3F34" w:rsidRPr="00825A8F">
        <w:rPr>
          <w:rFonts w:cs="Arial"/>
          <w:szCs w:val="20"/>
        </w:rPr>
        <w:t xml:space="preserve"> vehicle fuels</w:t>
      </w:r>
      <w:r w:rsidRPr="00825A8F">
        <w:rPr>
          <w:rFonts w:cs="Arial"/>
          <w:szCs w:val="20"/>
        </w:rPr>
        <w:t>,</w:t>
      </w:r>
      <w:r w:rsidR="008A3F34" w:rsidRPr="00825A8F">
        <w:rPr>
          <w:rFonts w:cs="Arial"/>
          <w:szCs w:val="20"/>
        </w:rPr>
        <w:t xml:space="preserve"> including</w:t>
      </w:r>
      <w:r w:rsidR="00BA42AE" w:rsidRPr="00825A8F">
        <w:rPr>
          <w:rFonts w:cs="Arial"/>
          <w:szCs w:val="20"/>
        </w:rPr>
        <w:t xml:space="preserve"> </w:t>
      </w:r>
      <w:r w:rsidR="008A3F34" w:rsidRPr="00825A8F">
        <w:rPr>
          <w:rFonts w:cs="Arial"/>
          <w:szCs w:val="20"/>
        </w:rPr>
        <w:t>compressed natural gas, liquefied petroleum gas, hydrogen, electricity, E85, cellulosic ethanol, and biodiesel.</w:t>
      </w:r>
      <w:r w:rsidR="008A3F34" w:rsidRPr="00825A8F">
        <w:rPr>
          <w:rStyle w:val="FootnoteReference"/>
          <w:rFonts w:cs="Arial"/>
          <w:szCs w:val="20"/>
        </w:rPr>
        <w:footnoteReference w:id="165"/>
      </w:r>
    </w:p>
    <w:p w:rsidR="00C00BEC" w:rsidRPr="008720F3" w:rsidRDefault="008A3F34" w:rsidP="00825A8F">
      <w:pPr>
        <w:pStyle w:val="Heading3"/>
      </w:pPr>
      <w:bookmarkStart w:id="66" w:name="_Toc352854211"/>
      <w:r w:rsidRPr="008720F3">
        <w:t xml:space="preserve">Regulatory </w:t>
      </w:r>
      <w:r w:rsidR="00C00BEC" w:rsidRPr="008720F3">
        <w:t>Policies</w:t>
      </w:r>
      <w:bookmarkEnd w:id="66"/>
    </w:p>
    <w:p w:rsidR="008A3F34" w:rsidRPr="00825A8F" w:rsidRDefault="00FC65A3" w:rsidP="008A3F34">
      <w:pPr>
        <w:rPr>
          <w:rFonts w:cs="Arial"/>
          <w:bCs/>
          <w:szCs w:val="20"/>
        </w:rPr>
      </w:pPr>
      <w:r w:rsidRPr="00825A8F">
        <w:rPr>
          <w:rFonts w:cs="Arial"/>
          <w:bCs/>
          <w:szCs w:val="20"/>
        </w:rPr>
        <w:t xml:space="preserve">Outside of financing infrastructure investment, national governments are able to institute performance-based policies </w:t>
      </w:r>
      <w:r w:rsidR="002D1700" w:rsidRPr="00825A8F">
        <w:rPr>
          <w:rFonts w:cs="Arial"/>
          <w:bCs/>
          <w:szCs w:val="20"/>
        </w:rPr>
        <w:t xml:space="preserve">(e.g., </w:t>
      </w:r>
      <w:r w:rsidRPr="00825A8F">
        <w:rPr>
          <w:rFonts w:cs="Arial"/>
          <w:bCs/>
          <w:szCs w:val="20"/>
        </w:rPr>
        <w:t>fuel economy or GHG emissions standards</w:t>
      </w:r>
      <w:r w:rsidR="002D1700" w:rsidRPr="00825A8F">
        <w:rPr>
          <w:rFonts w:cs="Arial"/>
          <w:bCs/>
          <w:szCs w:val="20"/>
        </w:rPr>
        <w:t>)</w:t>
      </w:r>
      <w:r w:rsidRPr="00825A8F">
        <w:rPr>
          <w:rFonts w:cs="Arial"/>
          <w:bCs/>
          <w:szCs w:val="20"/>
        </w:rPr>
        <w:t xml:space="preserve"> and technology mandates</w:t>
      </w:r>
      <w:r w:rsidR="002D1700" w:rsidRPr="00825A8F">
        <w:rPr>
          <w:rFonts w:cs="Arial"/>
          <w:bCs/>
          <w:szCs w:val="20"/>
        </w:rPr>
        <w:t xml:space="preserve"> (e.g., </w:t>
      </w:r>
      <w:r w:rsidRPr="00825A8F">
        <w:rPr>
          <w:rFonts w:cs="Arial"/>
          <w:bCs/>
          <w:szCs w:val="20"/>
        </w:rPr>
        <w:t>renewable fuels standards or targets</w:t>
      </w:r>
      <w:r w:rsidR="002D1700" w:rsidRPr="00825A8F">
        <w:rPr>
          <w:rFonts w:cs="Arial"/>
          <w:bCs/>
          <w:szCs w:val="20"/>
        </w:rPr>
        <w:t>)</w:t>
      </w:r>
      <w:r w:rsidRPr="00825A8F">
        <w:rPr>
          <w:rFonts w:cs="Arial"/>
          <w:bCs/>
          <w:szCs w:val="20"/>
        </w:rPr>
        <w:t xml:space="preserve">. These policies promote </w:t>
      </w:r>
      <w:r w:rsidR="00EC4231" w:rsidRPr="00825A8F">
        <w:rPr>
          <w:rFonts w:cs="Arial"/>
          <w:bCs/>
          <w:szCs w:val="20"/>
        </w:rPr>
        <w:t>the development of</w:t>
      </w:r>
      <w:r w:rsidRPr="00825A8F">
        <w:rPr>
          <w:rFonts w:cs="Arial"/>
          <w:bCs/>
          <w:szCs w:val="20"/>
        </w:rPr>
        <w:t xml:space="preserve"> AFV</w:t>
      </w:r>
      <w:r w:rsidR="00EC4231" w:rsidRPr="00825A8F">
        <w:rPr>
          <w:rFonts w:cs="Arial"/>
          <w:bCs/>
          <w:szCs w:val="20"/>
        </w:rPr>
        <w:t>s and alternative fuel infrastructure</w:t>
      </w:r>
      <w:r w:rsidR="002D1700" w:rsidRPr="00825A8F">
        <w:rPr>
          <w:rFonts w:cs="Arial"/>
          <w:bCs/>
          <w:szCs w:val="20"/>
        </w:rPr>
        <w:t>,</w:t>
      </w:r>
      <w:r w:rsidR="00EC4231" w:rsidRPr="00825A8F">
        <w:rPr>
          <w:rFonts w:cs="Arial"/>
          <w:bCs/>
          <w:szCs w:val="20"/>
        </w:rPr>
        <w:t xml:space="preserve"> without </w:t>
      </w:r>
      <w:r w:rsidR="00C32117" w:rsidRPr="00825A8F">
        <w:rPr>
          <w:rFonts w:cs="Arial"/>
          <w:bCs/>
          <w:szCs w:val="20"/>
        </w:rPr>
        <w:t xml:space="preserve">necessarily </w:t>
      </w:r>
      <w:r w:rsidR="00EC4231" w:rsidRPr="00825A8F">
        <w:rPr>
          <w:rFonts w:cs="Arial"/>
          <w:bCs/>
          <w:szCs w:val="20"/>
        </w:rPr>
        <w:t xml:space="preserve">requiring direct government expenditures. </w:t>
      </w:r>
      <w:r w:rsidR="000C752C" w:rsidRPr="00825A8F">
        <w:rPr>
          <w:rFonts w:cs="Arial"/>
          <w:bCs/>
          <w:szCs w:val="20"/>
        </w:rPr>
        <w:t>The United States has both performance-based (</w:t>
      </w:r>
      <w:r w:rsidR="00BB22D2" w:rsidRPr="00825A8F">
        <w:rPr>
          <w:rFonts w:cs="Arial"/>
          <w:bCs/>
          <w:szCs w:val="20"/>
        </w:rPr>
        <w:t xml:space="preserve">i.e., </w:t>
      </w:r>
      <w:r w:rsidR="000C752C" w:rsidRPr="00825A8F">
        <w:rPr>
          <w:rFonts w:cs="Arial"/>
          <w:bCs/>
          <w:szCs w:val="20"/>
        </w:rPr>
        <w:t>CAFE) and technology mandate (</w:t>
      </w:r>
      <w:r w:rsidR="00BB22D2" w:rsidRPr="00825A8F">
        <w:rPr>
          <w:rFonts w:cs="Arial"/>
          <w:bCs/>
          <w:szCs w:val="20"/>
        </w:rPr>
        <w:t xml:space="preserve">i.e., </w:t>
      </w:r>
      <w:r w:rsidR="000C752C" w:rsidRPr="00825A8F">
        <w:rPr>
          <w:rFonts w:cs="Arial"/>
          <w:bCs/>
          <w:szCs w:val="20"/>
        </w:rPr>
        <w:t>RFS) policies. Globally, countries with performance-based fuel economy standards include Australia, Brazil, Canada, China, and South Korea, and countries with technology mandates include Brazil, Canada, and Russia.</w:t>
      </w:r>
      <w:r w:rsidR="000C752C" w:rsidRPr="00825A8F">
        <w:rPr>
          <w:rStyle w:val="FootnoteReference"/>
          <w:rFonts w:cs="Arial"/>
          <w:bCs/>
          <w:szCs w:val="20"/>
        </w:rPr>
        <w:footnoteReference w:id="166"/>
      </w:r>
      <w:r w:rsidR="000C752C" w:rsidRPr="00825A8F">
        <w:rPr>
          <w:rFonts w:cs="Arial"/>
          <w:bCs/>
          <w:szCs w:val="20"/>
        </w:rPr>
        <w:t xml:space="preserve"> </w:t>
      </w:r>
    </w:p>
    <w:p w:rsidR="007F58CB" w:rsidRPr="00825A8F" w:rsidRDefault="007F58CB" w:rsidP="008A3F34">
      <w:pPr>
        <w:rPr>
          <w:rFonts w:cs="Arial"/>
          <w:bCs/>
          <w:szCs w:val="20"/>
        </w:rPr>
      </w:pPr>
      <w:r w:rsidRPr="00825A8F">
        <w:rPr>
          <w:rFonts w:cs="Arial"/>
          <w:bCs/>
          <w:szCs w:val="20"/>
        </w:rPr>
        <w:t xml:space="preserve">In addition, national and local governments have used fleet purchasing programs to create initial demand for fuel as well as provide visibility for AFVs. In the United States, government fleet purchasing programs were responsible for purchasing a large portion of hybrid vehicles sold </w:t>
      </w:r>
      <w:r w:rsidR="002D1700" w:rsidRPr="00825A8F">
        <w:rPr>
          <w:rFonts w:cs="Arial"/>
          <w:bCs/>
          <w:szCs w:val="20"/>
        </w:rPr>
        <w:t>in specific</w:t>
      </w:r>
      <w:r w:rsidRPr="00825A8F">
        <w:rPr>
          <w:rFonts w:cs="Arial"/>
          <w:bCs/>
          <w:szCs w:val="20"/>
        </w:rPr>
        <w:t xml:space="preserve"> years.</w:t>
      </w:r>
      <w:r w:rsidRPr="00825A8F">
        <w:rPr>
          <w:rStyle w:val="FootnoteReference"/>
          <w:rFonts w:cs="Arial"/>
          <w:szCs w:val="20"/>
        </w:rPr>
        <w:footnoteReference w:id="167"/>
      </w:r>
      <w:r w:rsidRPr="00825A8F">
        <w:rPr>
          <w:rFonts w:cs="Arial"/>
          <w:bCs/>
          <w:szCs w:val="20"/>
        </w:rPr>
        <w:t xml:space="preserve"> Government agencies have also driven the purchase of flex-fuel vehicles in both the United States and Brazil.</w:t>
      </w:r>
      <w:r w:rsidRPr="00825A8F">
        <w:rPr>
          <w:rStyle w:val="FootnoteReference"/>
          <w:rFonts w:cs="Arial"/>
          <w:bCs/>
          <w:szCs w:val="20"/>
        </w:rPr>
        <w:footnoteReference w:id="168"/>
      </w:r>
    </w:p>
    <w:p w:rsidR="00D904E0" w:rsidRPr="00825A8F" w:rsidRDefault="00D904E0" w:rsidP="008A3F34">
      <w:pPr>
        <w:rPr>
          <w:rFonts w:cs="Arial"/>
          <w:bCs/>
          <w:szCs w:val="20"/>
        </w:rPr>
      </w:pPr>
      <w:r w:rsidRPr="00825A8F">
        <w:rPr>
          <w:rFonts w:cs="Arial"/>
          <w:bCs/>
          <w:szCs w:val="20"/>
        </w:rPr>
        <w:t>California has instituted a unique regulation requir</w:t>
      </w:r>
      <w:r w:rsidR="002D1700" w:rsidRPr="00825A8F">
        <w:rPr>
          <w:rFonts w:cs="Arial"/>
          <w:bCs/>
          <w:szCs w:val="20"/>
        </w:rPr>
        <w:t>ing</w:t>
      </w:r>
      <w:r w:rsidRPr="00825A8F">
        <w:rPr>
          <w:rFonts w:cs="Arial"/>
          <w:bCs/>
          <w:szCs w:val="20"/>
        </w:rPr>
        <w:t xml:space="preserve"> the installation of AFV refueling infrastructure at gas stations. The Clean Fuels Outlet Regulation </w:t>
      </w:r>
      <w:r w:rsidR="002D1700" w:rsidRPr="00825A8F">
        <w:rPr>
          <w:rFonts w:cs="Arial"/>
          <w:bCs/>
          <w:szCs w:val="20"/>
        </w:rPr>
        <w:t xml:space="preserve">compels </w:t>
      </w:r>
      <w:r w:rsidRPr="00825A8F">
        <w:rPr>
          <w:rFonts w:cs="Arial"/>
          <w:bCs/>
          <w:szCs w:val="20"/>
        </w:rPr>
        <w:t>station owners to install infrastructure</w:t>
      </w:r>
      <w:r w:rsidR="00114951" w:rsidRPr="00825A8F">
        <w:rPr>
          <w:rFonts w:cs="Arial"/>
          <w:bCs/>
          <w:szCs w:val="20"/>
        </w:rPr>
        <w:t xml:space="preserve"> based on the number of AFVs</w:t>
      </w:r>
      <w:r w:rsidRPr="00825A8F">
        <w:rPr>
          <w:rFonts w:cs="Arial"/>
          <w:bCs/>
          <w:szCs w:val="20"/>
        </w:rPr>
        <w:t xml:space="preserve"> </w:t>
      </w:r>
      <w:r w:rsidR="00114951" w:rsidRPr="00825A8F">
        <w:rPr>
          <w:rFonts w:cs="Arial"/>
          <w:bCs/>
          <w:szCs w:val="20"/>
        </w:rPr>
        <w:t xml:space="preserve">owned </w:t>
      </w:r>
      <w:r w:rsidRPr="00825A8F">
        <w:rPr>
          <w:rFonts w:cs="Arial"/>
          <w:bCs/>
          <w:szCs w:val="20"/>
        </w:rPr>
        <w:t>in the state.</w:t>
      </w:r>
      <w:r w:rsidR="00114951" w:rsidRPr="00825A8F">
        <w:rPr>
          <w:rFonts w:cs="Arial"/>
          <w:bCs/>
          <w:szCs w:val="20"/>
        </w:rPr>
        <w:t xml:space="preserve"> Such a regulation ensures that refueling capacity is available for these vehicles, but it exposes private businesses to </w:t>
      </w:r>
      <w:r w:rsidR="002D1700" w:rsidRPr="00825A8F">
        <w:rPr>
          <w:rFonts w:cs="Arial"/>
          <w:bCs/>
          <w:szCs w:val="20"/>
        </w:rPr>
        <w:t xml:space="preserve">ventures </w:t>
      </w:r>
      <w:r w:rsidR="00114951" w:rsidRPr="00825A8F">
        <w:rPr>
          <w:rFonts w:cs="Arial"/>
          <w:bCs/>
          <w:szCs w:val="20"/>
        </w:rPr>
        <w:t>that they may not otherwise have been willing to undertake.</w:t>
      </w:r>
    </w:p>
    <w:p w:rsidR="00F04A10" w:rsidRPr="00825A8F" w:rsidRDefault="008A3F34" w:rsidP="00FC65A3">
      <w:pPr>
        <w:rPr>
          <w:rFonts w:cs="Arial"/>
          <w:bCs/>
          <w:szCs w:val="20"/>
        </w:rPr>
      </w:pPr>
      <w:r w:rsidRPr="00825A8F">
        <w:rPr>
          <w:rFonts w:cs="Arial"/>
          <w:bCs/>
          <w:szCs w:val="20"/>
        </w:rPr>
        <w:t>In the United States</w:t>
      </w:r>
      <w:r w:rsidR="002D1700" w:rsidRPr="00825A8F">
        <w:rPr>
          <w:rFonts w:cs="Arial"/>
          <w:bCs/>
          <w:szCs w:val="20"/>
        </w:rPr>
        <w:t>,</w:t>
      </w:r>
      <w:r w:rsidRPr="00825A8F">
        <w:rPr>
          <w:rFonts w:cs="Arial"/>
          <w:bCs/>
          <w:szCs w:val="20"/>
        </w:rPr>
        <w:t xml:space="preserve"> at the state and local level</w:t>
      </w:r>
      <w:r w:rsidR="002D1700" w:rsidRPr="00825A8F">
        <w:rPr>
          <w:rFonts w:cs="Arial"/>
          <w:bCs/>
          <w:szCs w:val="20"/>
        </w:rPr>
        <w:t>s</w:t>
      </w:r>
      <w:r w:rsidRPr="00825A8F">
        <w:rPr>
          <w:rFonts w:cs="Arial"/>
          <w:bCs/>
          <w:szCs w:val="20"/>
        </w:rPr>
        <w:t xml:space="preserve">, other non-monetary policies have been used to incentivize consumers to purchase AFVs. Many locations have allowed drivers of certain AFVs access to carpool lanes (also known as high occupancy vehicle, or </w:t>
      </w:r>
      <w:r w:rsidR="00120EEE" w:rsidRPr="00825A8F">
        <w:rPr>
          <w:rFonts w:cs="Arial"/>
          <w:bCs/>
          <w:szCs w:val="20"/>
        </w:rPr>
        <w:t>high occupancy toll</w:t>
      </w:r>
      <w:r w:rsidRPr="00825A8F">
        <w:rPr>
          <w:rFonts w:cs="Arial"/>
          <w:bCs/>
          <w:szCs w:val="20"/>
        </w:rPr>
        <w:t xml:space="preserve"> lanes) </w:t>
      </w:r>
      <w:r w:rsidR="00D92A03" w:rsidRPr="00825A8F">
        <w:rPr>
          <w:rFonts w:cs="Arial"/>
          <w:bCs/>
          <w:szCs w:val="20"/>
        </w:rPr>
        <w:t>even if there is only one occupant in the vehicle. Discounted</w:t>
      </w:r>
      <w:r w:rsidR="001C603C" w:rsidRPr="00825A8F">
        <w:rPr>
          <w:rFonts w:cs="Arial"/>
          <w:bCs/>
          <w:szCs w:val="20"/>
        </w:rPr>
        <w:t>,</w:t>
      </w:r>
      <w:r w:rsidR="00D92A03" w:rsidRPr="00825A8F">
        <w:rPr>
          <w:rFonts w:cs="Arial"/>
          <w:bCs/>
          <w:szCs w:val="20"/>
        </w:rPr>
        <w:t xml:space="preserve"> or more convenient</w:t>
      </w:r>
      <w:r w:rsidR="001C603C" w:rsidRPr="00825A8F">
        <w:rPr>
          <w:rFonts w:cs="Arial"/>
          <w:bCs/>
          <w:szCs w:val="20"/>
        </w:rPr>
        <w:t>,</w:t>
      </w:r>
      <w:r w:rsidR="00D92A03" w:rsidRPr="00825A8F">
        <w:rPr>
          <w:rFonts w:cs="Arial"/>
          <w:bCs/>
          <w:szCs w:val="20"/>
        </w:rPr>
        <w:t xml:space="preserve"> parking for AFVs is another incentive that ha</w:t>
      </w:r>
      <w:r w:rsidR="00114951" w:rsidRPr="00825A8F">
        <w:rPr>
          <w:rFonts w:cs="Arial"/>
          <w:bCs/>
          <w:szCs w:val="20"/>
        </w:rPr>
        <w:t>s been used at the local level.</w:t>
      </w:r>
    </w:p>
    <w:p w:rsidR="00FC65A3" w:rsidRPr="008720F3" w:rsidRDefault="00023FAA" w:rsidP="00825A8F">
      <w:pPr>
        <w:pStyle w:val="Heading2"/>
      </w:pPr>
      <w:bookmarkStart w:id="67" w:name="_Toc352854212"/>
      <w:r w:rsidRPr="008720F3">
        <w:lastRenderedPageBreak/>
        <w:t xml:space="preserve">Infrastructure Development </w:t>
      </w:r>
      <w:r w:rsidR="00FC65A3" w:rsidRPr="008720F3">
        <w:t>Bank</w:t>
      </w:r>
      <w:r w:rsidRPr="008720F3">
        <w:t>s</w:t>
      </w:r>
      <w:bookmarkEnd w:id="67"/>
    </w:p>
    <w:p w:rsidR="00223213" w:rsidRPr="00825A8F" w:rsidRDefault="00FC65A3" w:rsidP="00825A8F">
      <w:pPr>
        <w:rPr>
          <w:rFonts w:cs="Arial"/>
          <w:szCs w:val="20"/>
        </w:rPr>
      </w:pPr>
      <w:r w:rsidRPr="00825A8F">
        <w:rPr>
          <w:rFonts w:cs="Arial"/>
          <w:szCs w:val="20"/>
        </w:rPr>
        <w:t>Infrastructure bank</w:t>
      </w:r>
      <w:r w:rsidR="0006489F" w:rsidRPr="00825A8F">
        <w:rPr>
          <w:rFonts w:cs="Arial"/>
          <w:szCs w:val="20"/>
        </w:rPr>
        <w:t>s are one option for securing funding for large projects. Europe and Brazil</w:t>
      </w:r>
      <w:r w:rsidR="001C603C" w:rsidRPr="00825A8F">
        <w:rPr>
          <w:rFonts w:cs="Arial"/>
          <w:szCs w:val="20"/>
        </w:rPr>
        <w:t xml:space="preserve"> </w:t>
      </w:r>
      <w:r w:rsidR="0006489F" w:rsidRPr="00825A8F">
        <w:rPr>
          <w:rFonts w:cs="Arial"/>
          <w:szCs w:val="20"/>
        </w:rPr>
        <w:t>have existing development banks designed to help secure funding for large infrastructure projects. Both banks have experience financing investment in AFV infrastructure. There has also been discussion around the idea of creating an infrastructure bank in the United States, which could potentially fin</w:t>
      </w:r>
      <w:r w:rsidR="00BD1F0F" w:rsidRPr="00825A8F">
        <w:rPr>
          <w:rFonts w:cs="Arial"/>
          <w:szCs w:val="20"/>
        </w:rPr>
        <w:t xml:space="preserve">ance a variety of </w:t>
      </w:r>
      <w:r w:rsidR="0006489F" w:rsidRPr="00825A8F">
        <w:rPr>
          <w:rFonts w:cs="Arial"/>
          <w:szCs w:val="20"/>
        </w:rPr>
        <w:t>projects, including AFV infrastructure.</w:t>
      </w:r>
    </w:p>
    <w:p w:rsidR="00515003" w:rsidRPr="00825A8F" w:rsidRDefault="00515003" w:rsidP="00825A8F">
      <w:pPr>
        <w:rPr>
          <w:rFonts w:cs="Arial"/>
          <w:szCs w:val="20"/>
        </w:rPr>
      </w:pPr>
      <w:r w:rsidRPr="00825A8F">
        <w:rPr>
          <w:rFonts w:cs="Arial"/>
          <w:szCs w:val="20"/>
        </w:rPr>
        <w:t xml:space="preserve">The European Investment Bank (EIB) is a </w:t>
      </w:r>
      <w:r w:rsidR="000873FF" w:rsidRPr="00825A8F">
        <w:rPr>
          <w:rFonts w:cs="Arial"/>
          <w:szCs w:val="20"/>
        </w:rPr>
        <w:t>nonprofit</w:t>
      </w:r>
      <w:r w:rsidRPr="00825A8F">
        <w:rPr>
          <w:rFonts w:cs="Arial"/>
          <w:szCs w:val="20"/>
        </w:rPr>
        <w:t>,</w:t>
      </w:r>
      <w:r w:rsidR="000873FF" w:rsidRPr="00825A8F">
        <w:rPr>
          <w:rFonts w:cs="Arial"/>
          <w:szCs w:val="20"/>
        </w:rPr>
        <w:t xml:space="preserve"> long-term lending institution.</w:t>
      </w:r>
      <w:r w:rsidR="00867DFC" w:rsidRPr="00825A8F">
        <w:rPr>
          <w:rStyle w:val="FootnoteReference"/>
          <w:rFonts w:cs="Arial"/>
          <w:szCs w:val="20"/>
        </w:rPr>
        <w:footnoteReference w:id="169"/>
      </w:r>
      <w:r w:rsidR="000873FF" w:rsidRPr="00825A8F">
        <w:rPr>
          <w:rFonts w:cs="Arial"/>
          <w:szCs w:val="20"/>
        </w:rPr>
        <w:t xml:space="preserve"> </w:t>
      </w:r>
      <w:r w:rsidRPr="00825A8F">
        <w:rPr>
          <w:rFonts w:cs="Arial"/>
          <w:szCs w:val="20"/>
        </w:rPr>
        <w:t>The bank's</w:t>
      </w:r>
      <w:r w:rsidR="000873FF" w:rsidRPr="00825A8F">
        <w:rPr>
          <w:rFonts w:cs="Arial"/>
          <w:szCs w:val="20"/>
        </w:rPr>
        <w:t xml:space="preserve"> shareholders are the member states of the E</w:t>
      </w:r>
      <w:r w:rsidRPr="00825A8F">
        <w:rPr>
          <w:rFonts w:cs="Arial"/>
          <w:szCs w:val="20"/>
        </w:rPr>
        <w:t xml:space="preserve">uropean </w:t>
      </w:r>
      <w:r w:rsidR="000873FF" w:rsidRPr="00825A8F">
        <w:rPr>
          <w:rFonts w:cs="Arial"/>
          <w:szCs w:val="20"/>
        </w:rPr>
        <w:t>U</w:t>
      </w:r>
      <w:r w:rsidRPr="00825A8F">
        <w:rPr>
          <w:rFonts w:cs="Arial"/>
          <w:szCs w:val="20"/>
        </w:rPr>
        <w:t>nion</w:t>
      </w:r>
      <w:r w:rsidR="002D1700" w:rsidRPr="00825A8F">
        <w:rPr>
          <w:rFonts w:cs="Arial"/>
          <w:szCs w:val="20"/>
        </w:rPr>
        <w:t>;</w:t>
      </w:r>
      <w:r w:rsidR="005B6722" w:rsidRPr="00825A8F">
        <w:rPr>
          <w:rFonts w:cs="Arial"/>
          <w:szCs w:val="20"/>
        </w:rPr>
        <w:t xml:space="preserve"> its</w:t>
      </w:r>
      <w:r w:rsidRPr="00825A8F">
        <w:rPr>
          <w:rFonts w:cs="Arial"/>
          <w:szCs w:val="20"/>
        </w:rPr>
        <w:t xml:space="preserve"> goals are to significantly contribute "to growth, employment, economic and social cohesion and environmental sustainability." The EIB finances a portion (30 to 50 percent) of each project it supports, drawing its lending resources </w:t>
      </w:r>
      <w:r w:rsidR="00A00013" w:rsidRPr="00825A8F">
        <w:rPr>
          <w:rFonts w:cs="Arial"/>
          <w:szCs w:val="20"/>
        </w:rPr>
        <w:t>from</w:t>
      </w:r>
      <w:r w:rsidRPr="00825A8F">
        <w:rPr>
          <w:rFonts w:cs="Arial"/>
          <w:szCs w:val="20"/>
        </w:rPr>
        <w:t xml:space="preserve"> bond issues on the international market. The bank's high rating means it can borrow at low rates, reducing the cost of project capital. Projects financed by the bank are subject to "strict economic, technical, environmental and social standards," and </w:t>
      </w:r>
      <w:r w:rsidR="00867DFC" w:rsidRPr="00825A8F">
        <w:rPr>
          <w:rFonts w:cs="Arial"/>
          <w:szCs w:val="20"/>
        </w:rPr>
        <w:t>the bank has a large, skilled staff to assess projects and provide technical support and expertise. The EIB has experience financing projects to deploy AFVs, such as the acquisition of electric vehicles and installation of charging points in Spain and the Netherlands.</w:t>
      </w:r>
      <w:r w:rsidR="00867DFC" w:rsidRPr="00825A8F">
        <w:rPr>
          <w:rStyle w:val="FootnoteReference"/>
          <w:rFonts w:cs="Arial"/>
          <w:szCs w:val="20"/>
        </w:rPr>
        <w:footnoteReference w:id="170"/>
      </w:r>
    </w:p>
    <w:p w:rsidR="0036563A" w:rsidRPr="00825A8F" w:rsidRDefault="000F170F" w:rsidP="00825A8F">
      <w:pPr>
        <w:rPr>
          <w:rFonts w:cs="Arial"/>
          <w:szCs w:val="20"/>
        </w:rPr>
      </w:pPr>
      <w:r w:rsidRPr="00825A8F">
        <w:rPr>
          <w:rFonts w:cs="Arial"/>
          <w:szCs w:val="20"/>
        </w:rPr>
        <w:t xml:space="preserve">The Brazilian Development Bank, or Banco Nacional de Desenvolvimento Econômico e Social (BNDES), is the </w:t>
      </w:r>
      <w:r w:rsidR="00045DE4" w:rsidRPr="00825A8F">
        <w:rPr>
          <w:rFonts w:cs="Arial"/>
          <w:szCs w:val="20"/>
        </w:rPr>
        <w:t>primary</w:t>
      </w:r>
      <w:r w:rsidRPr="00825A8F">
        <w:rPr>
          <w:rFonts w:cs="Arial"/>
          <w:szCs w:val="20"/>
        </w:rPr>
        <w:t xml:space="preserve"> </w:t>
      </w:r>
      <w:r w:rsidR="00045DE4" w:rsidRPr="00825A8F">
        <w:rPr>
          <w:rFonts w:cs="Arial"/>
          <w:szCs w:val="20"/>
        </w:rPr>
        <w:t>source of financing for</w:t>
      </w:r>
      <w:r w:rsidRPr="00825A8F">
        <w:rPr>
          <w:rFonts w:cs="Arial"/>
          <w:szCs w:val="20"/>
        </w:rPr>
        <w:t xml:space="preserve"> development in Brazil.</w:t>
      </w:r>
      <w:r w:rsidR="0036563A" w:rsidRPr="00825A8F">
        <w:rPr>
          <w:rStyle w:val="FootnoteReference"/>
          <w:rFonts w:cs="Arial"/>
          <w:szCs w:val="20"/>
        </w:rPr>
        <w:footnoteReference w:id="171"/>
      </w:r>
      <w:r w:rsidRPr="00825A8F">
        <w:rPr>
          <w:rFonts w:cs="Arial"/>
          <w:szCs w:val="20"/>
        </w:rPr>
        <w:t xml:space="preserve"> </w:t>
      </w:r>
      <w:r w:rsidR="00045DE4" w:rsidRPr="00825A8F">
        <w:rPr>
          <w:rFonts w:cs="Arial"/>
          <w:szCs w:val="20"/>
        </w:rPr>
        <w:t xml:space="preserve">The bank has a long history in directing the growth </w:t>
      </w:r>
      <w:r w:rsidRPr="00825A8F">
        <w:rPr>
          <w:rFonts w:cs="Arial"/>
          <w:szCs w:val="20"/>
        </w:rPr>
        <w:t xml:space="preserve">of industry and </w:t>
      </w:r>
      <w:r w:rsidR="00045DE4" w:rsidRPr="00825A8F">
        <w:rPr>
          <w:rFonts w:cs="Arial"/>
          <w:szCs w:val="20"/>
        </w:rPr>
        <w:t xml:space="preserve">expansion of </w:t>
      </w:r>
      <w:r w:rsidRPr="00825A8F">
        <w:rPr>
          <w:rFonts w:cs="Arial"/>
          <w:szCs w:val="20"/>
        </w:rPr>
        <w:t>infrastructure</w:t>
      </w:r>
      <w:r w:rsidR="00045DE4" w:rsidRPr="00825A8F">
        <w:rPr>
          <w:rFonts w:cs="Arial"/>
          <w:szCs w:val="20"/>
        </w:rPr>
        <w:t>. Like EIB, BNDES analyses and provides support to projects in a variety of sectors. It</w:t>
      </w:r>
      <w:r w:rsidR="00A00013" w:rsidRPr="00825A8F">
        <w:rPr>
          <w:rFonts w:cs="Arial"/>
          <w:szCs w:val="20"/>
        </w:rPr>
        <w:t>s</w:t>
      </w:r>
      <w:r w:rsidR="00045DE4" w:rsidRPr="00825A8F">
        <w:rPr>
          <w:rFonts w:cs="Arial"/>
          <w:szCs w:val="20"/>
        </w:rPr>
        <w:t xml:space="preserve"> goal</w:t>
      </w:r>
      <w:r w:rsidR="005B6722" w:rsidRPr="00825A8F">
        <w:rPr>
          <w:rFonts w:cs="Arial"/>
          <w:szCs w:val="20"/>
        </w:rPr>
        <w:t>s are</w:t>
      </w:r>
      <w:r w:rsidR="00045DE4" w:rsidRPr="00825A8F">
        <w:rPr>
          <w:rFonts w:cs="Arial"/>
          <w:szCs w:val="20"/>
        </w:rPr>
        <w:t xml:space="preserve"> to support "</w:t>
      </w:r>
      <w:r w:rsidRPr="00825A8F">
        <w:rPr>
          <w:rFonts w:cs="Arial"/>
          <w:szCs w:val="20"/>
        </w:rPr>
        <w:t>innovation, local development</w:t>
      </w:r>
      <w:r w:rsidR="00045DE4" w:rsidRPr="00825A8F">
        <w:rPr>
          <w:rFonts w:cs="Arial"/>
          <w:szCs w:val="20"/>
        </w:rPr>
        <w:t>,</w:t>
      </w:r>
      <w:r w:rsidRPr="00825A8F">
        <w:rPr>
          <w:rFonts w:cs="Arial"/>
          <w:szCs w:val="20"/>
        </w:rPr>
        <w:t xml:space="preserve"> and socio-environmental development.</w:t>
      </w:r>
      <w:r w:rsidR="00045DE4" w:rsidRPr="00825A8F">
        <w:rPr>
          <w:rFonts w:cs="Arial"/>
          <w:szCs w:val="20"/>
        </w:rPr>
        <w:t>" When Proalcool was introduced in the 1970s, BNDES</w:t>
      </w:r>
      <w:r w:rsidR="0036563A" w:rsidRPr="00825A8F">
        <w:rPr>
          <w:rFonts w:cs="Arial"/>
          <w:szCs w:val="20"/>
        </w:rPr>
        <w:t xml:space="preserve"> supported investments in infrastructure used to process sugarcane and distill ethanol fuel.</w:t>
      </w:r>
      <w:r w:rsidR="0036563A" w:rsidRPr="00825A8F">
        <w:rPr>
          <w:rStyle w:val="FootnoteReference"/>
          <w:rFonts w:cs="Arial"/>
          <w:szCs w:val="24"/>
        </w:rPr>
        <w:footnoteReference w:id="172"/>
      </w:r>
      <w:r w:rsidR="0036563A" w:rsidRPr="00825A8F">
        <w:rPr>
          <w:rFonts w:cs="Arial"/>
          <w:szCs w:val="20"/>
        </w:rPr>
        <w:t xml:space="preserve"> BNDES continues to support the transportation sector in Brazil by funding investments in automaker operations and sustainable transportation systems.</w:t>
      </w:r>
      <w:r w:rsidR="0036563A" w:rsidRPr="00825A8F">
        <w:rPr>
          <w:rStyle w:val="FootnoteReference"/>
          <w:rFonts w:cs="Arial"/>
          <w:szCs w:val="20"/>
        </w:rPr>
        <w:footnoteReference w:id="173"/>
      </w:r>
    </w:p>
    <w:p w:rsidR="004D27AD" w:rsidRPr="00825A8F" w:rsidRDefault="00B87C3C" w:rsidP="00825A8F">
      <w:pPr>
        <w:rPr>
          <w:rFonts w:cs="Arial"/>
          <w:szCs w:val="20"/>
        </w:rPr>
      </w:pPr>
      <w:r w:rsidRPr="00825A8F">
        <w:rPr>
          <w:rFonts w:cs="Arial"/>
          <w:szCs w:val="20"/>
        </w:rPr>
        <w:t>In the United States, there</w:t>
      </w:r>
      <w:r w:rsidR="00223213" w:rsidRPr="00825A8F">
        <w:rPr>
          <w:rFonts w:cs="Arial"/>
          <w:szCs w:val="20"/>
        </w:rPr>
        <w:t xml:space="preserve"> have </w:t>
      </w:r>
      <w:r w:rsidRPr="00825A8F">
        <w:rPr>
          <w:rFonts w:cs="Arial"/>
          <w:szCs w:val="20"/>
        </w:rPr>
        <w:t>been many proposals to create</w:t>
      </w:r>
      <w:r w:rsidR="00223213" w:rsidRPr="00825A8F">
        <w:rPr>
          <w:rFonts w:cs="Arial"/>
          <w:szCs w:val="20"/>
        </w:rPr>
        <w:t xml:space="preserve"> a national infrastructure bank that could fund</w:t>
      </w:r>
      <w:r w:rsidRPr="00825A8F">
        <w:rPr>
          <w:rFonts w:cs="Arial"/>
          <w:szCs w:val="20"/>
        </w:rPr>
        <w:t xml:space="preserve"> large projects costing $100 million or more</w:t>
      </w:r>
      <w:r w:rsidR="00A14BF9" w:rsidRPr="00825A8F">
        <w:rPr>
          <w:rFonts w:cs="Arial"/>
          <w:szCs w:val="20"/>
        </w:rPr>
        <w:t>.</w:t>
      </w:r>
      <w:r w:rsidR="009B375A" w:rsidRPr="00825A8F">
        <w:rPr>
          <w:rStyle w:val="FootnoteReference"/>
          <w:rFonts w:cs="Arial"/>
          <w:szCs w:val="20"/>
        </w:rPr>
        <w:footnoteReference w:id="174"/>
      </w:r>
      <w:r w:rsidR="00223213" w:rsidRPr="00825A8F">
        <w:rPr>
          <w:rFonts w:cs="Arial"/>
          <w:szCs w:val="20"/>
        </w:rPr>
        <w:t xml:space="preserve"> </w:t>
      </w:r>
      <w:r w:rsidR="00A14BF9" w:rsidRPr="00825A8F">
        <w:rPr>
          <w:rFonts w:cs="Arial"/>
          <w:szCs w:val="20"/>
        </w:rPr>
        <w:t>The infrastructure bank</w:t>
      </w:r>
      <w:r w:rsidR="00223213" w:rsidRPr="00825A8F">
        <w:rPr>
          <w:rFonts w:cs="Arial"/>
          <w:szCs w:val="20"/>
        </w:rPr>
        <w:t xml:space="preserve"> would require a federal appropriation</w:t>
      </w:r>
      <w:r w:rsidRPr="00825A8F">
        <w:rPr>
          <w:rFonts w:cs="Arial"/>
          <w:szCs w:val="20"/>
        </w:rPr>
        <w:t xml:space="preserve"> for initial capitalization</w:t>
      </w:r>
      <w:r w:rsidR="00223213" w:rsidRPr="00825A8F">
        <w:rPr>
          <w:rFonts w:cs="Arial"/>
          <w:szCs w:val="20"/>
        </w:rPr>
        <w:t>, but would leverage a large amount of private investment</w:t>
      </w:r>
      <w:r w:rsidR="00A14BF9" w:rsidRPr="00825A8F">
        <w:rPr>
          <w:rFonts w:cs="Arial"/>
          <w:szCs w:val="20"/>
        </w:rPr>
        <w:t xml:space="preserve"> (five private dollars for every federal dollar)</w:t>
      </w:r>
      <w:r w:rsidR="00223213" w:rsidRPr="00825A8F">
        <w:rPr>
          <w:rFonts w:cs="Arial"/>
          <w:szCs w:val="20"/>
        </w:rPr>
        <w:t xml:space="preserve">. Its goal would be to </w:t>
      </w:r>
      <w:r w:rsidR="00A14BF9" w:rsidRPr="00825A8F">
        <w:rPr>
          <w:rFonts w:cs="Arial"/>
          <w:szCs w:val="20"/>
        </w:rPr>
        <w:t>increase infrastructure investment without requiring large upfront government funding.</w:t>
      </w:r>
      <w:r w:rsidR="00223213" w:rsidRPr="00825A8F">
        <w:rPr>
          <w:rFonts w:cs="Arial"/>
          <w:szCs w:val="20"/>
        </w:rPr>
        <w:t xml:space="preserve"> </w:t>
      </w:r>
    </w:p>
    <w:p w:rsidR="00223213" w:rsidRPr="00825A8F" w:rsidRDefault="004D27AD" w:rsidP="00825A8F">
      <w:pPr>
        <w:rPr>
          <w:rFonts w:cs="Arial"/>
          <w:szCs w:val="20"/>
        </w:rPr>
      </w:pPr>
      <w:r w:rsidRPr="00825A8F">
        <w:rPr>
          <w:rFonts w:cs="Arial"/>
          <w:szCs w:val="20"/>
        </w:rPr>
        <w:t>By using a merit-based</w:t>
      </w:r>
      <w:r w:rsidR="001A3C05" w:rsidRPr="00825A8F">
        <w:rPr>
          <w:rFonts w:cs="Arial"/>
          <w:szCs w:val="20"/>
        </w:rPr>
        <w:t xml:space="preserve"> approach for project approval</w:t>
      </w:r>
      <w:r w:rsidR="00A00013" w:rsidRPr="00825A8F">
        <w:rPr>
          <w:rFonts w:cs="Arial"/>
          <w:szCs w:val="20"/>
        </w:rPr>
        <w:t>,</w:t>
      </w:r>
      <w:r w:rsidR="001A3C05" w:rsidRPr="00825A8F">
        <w:rPr>
          <w:rFonts w:cs="Arial"/>
          <w:szCs w:val="20"/>
        </w:rPr>
        <w:t xml:space="preserve"> the</w:t>
      </w:r>
      <w:r w:rsidRPr="00825A8F">
        <w:rPr>
          <w:rFonts w:cs="Arial"/>
          <w:szCs w:val="20"/>
        </w:rPr>
        <w:t xml:space="preserve"> bank </w:t>
      </w:r>
      <w:r w:rsidR="00A14BF9" w:rsidRPr="00825A8F">
        <w:rPr>
          <w:rFonts w:cs="Arial"/>
          <w:szCs w:val="20"/>
        </w:rPr>
        <w:t>would depoliticize the selection process</w:t>
      </w:r>
      <w:r w:rsidR="005B6722" w:rsidRPr="00825A8F">
        <w:rPr>
          <w:rFonts w:cs="Arial"/>
          <w:szCs w:val="20"/>
        </w:rPr>
        <w:t>—</w:t>
      </w:r>
      <w:r w:rsidR="001A3C05" w:rsidRPr="00825A8F">
        <w:rPr>
          <w:rFonts w:cs="Arial"/>
          <w:szCs w:val="20"/>
        </w:rPr>
        <w:t>making</w:t>
      </w:r>
      <w:r w:rsidR="005B6722" w:rsidRPr="00825A8F">
        <w:rPr>
          <w:rFonts w:cs="Arial"/>
          <w:szCs w:val="20"/>
        </w:rPr>
        <w:t xml:space="preserve"> </w:t>
      </w:r>
      <w:r w:rsidR="001A3C05" w:rsidRPr="00825A8F">
        <w:rPr>
          <w:rFonts w:cs="Arial"/>
          <w:szCs w:val="20"/>
        </w:rPr>
        <w:t xml:space="preserve">it more competitive and </w:t>
      </w:r>
      <w:r w:rsidR="00A14BF9" w:rsidRPr="00825A8F">
        <w:rPr>
          <w:rFonts w:cs="Arial"/>
          <w:szCs w:val="20"/>
        </w:rPr>
        <w:t xml:space="preserve">resulting in </w:t>
      </w:r>
      <w:r w:rsidR="005B6722" w:rsidRPr="00825A8F">
        <w:rPr>
          <w:rFonts w:cs="Arial"/>
          <w:szCs w:val="20"/>
        </w:rPr>
        <w:t xml:space="preserve">the funding of </w:t>
      </w:r>
      <w:r w:rsidR="00A14BF9" w:rsidRPr="00825A8F">
        <w:rPr>
          <w:rFonts w:cs="Arial"/>
          <w:szCs w:val="20"/>
        </w:rPr>
        <w:t>projects with better economic and social justification.</w:t>
      </w:r>
      <w:r w:rsidR="009B375A" w:rsidRPr="00825A8F">
        <w:rPr>
          <w:rStyle w:val="FootnoteReference"/>
          <w:rFonts w:cs="Arial"/>
          <w:szCs w:val="20"/>
        </w:rPr>
        <w:footnoteReference w:id="175"/>
      </w:r>
      <w:r w:rsidR="00A14BF9" w:rsidRPr="00825A8F">
        <w:rPr>
          <w:rFonts w:cs="Arial"/>
          <w:szCs w:val="20"/>
        </w:rPr>
        <w:t xml:space="preserve"> </w:t>
      </w:r>
      <w:r w:rsidR="00A00013" w:rsidRPr="00825A8F">
        <w:rPr>
          <w:rFonts w:cs="Arial"/>
          <w:szCs w:val="20"/>
        </w:rPr>
        <w:t>Due to</w:t>
      </w:r>
      <w:r w:rsidR="001A3C05" w:rsidRPr="00825A8F">
        <w:rPr>
          <w:rFonts w:cs="Arial"/>
          <w:szCs w:val="20"/>
        </w:rPr>
        <w:t xml:space="preserve"> the private nature of the bank, its decisions would be subject to greater scrutiny by in</w:t>
      </w:r>
      <w:r w:rsidR="00023FAA" w:rsidRPr="00825A8F">
        <w:rPr>
          <w:rFonts w:cs="Arial"/>
          <w:szCs w:val="20"/>
        </w:rPr>
        <w:t>vestors who have an interest in</w:t>
      </w:r>
      <w:r w:rsidR="001A3C05" w:rsidRPr="00825A8F">
        <w:rPr>
          <w:rFonts w:cs="Arial"/>
          <w:szCs w:val="20"/>
        </w:rPr>
        <w:t xml:space="preserve"> sound projects that are able to deliver a reasonable return </w:t>
      </w:r>
      <w:r w:rsidR="001A3C05" w:rsidRPr="00825A8F">
        <w:rPr>
          <w:rFonts w:cs="Arial"/>
          <w:szCs w:val="20"/>
        </w:rPr>
        <w:lastRenderedPageBreak/>
        <w:t xml:space="preserve">on investment. </w:t>
      </w:r>
      <w:r w:rsidR="00A14BF9" w:rsidRPr="00825A8F">
        <w:rPr>
          <w:rFonts w:cs="Arial"/>
          <w:szCs w:val="20"/>
        </w:rPr>
        <w:t xml:space="preserve">Once </w:t>
      </w:r>
      <w:r w:rsidR="001A3C05" w:rsidRPr="00825A8F">
        <w:rPr>
          <w:rFonts w:cs="Arial"/>
          <w:szCs w:val="20"/>
        </w:rPr>
        <w:t>a project is completed, it</w:t>
      </w:r>
      <w:r w:rsidR="00A14BF9" w:rsidRPr="00825A8F">
        <w:rPr>
          <w:rFonts w:cs="Arial"/>
          <w:szCs w:val="20"/>
        </w:rPr>
        <w:t xml:space="preserve"> would repay the investment bank through user fees</w:t>
      </w:r>
      <w:r w:rsidR="001A3C05" w:rsidRPr="00825A8F">
        <w:rPr>
          <w:rFonts w:cs="Arial"/>
          <w:szCs w:val="20"/>
        </w:rPr>
        <w:t xml:space="preserve"> or other revenues</w:t>
      </w:r>
      <w:r w:rsidR="00A14BF9" w:rsidRPr="00825A8F">
        <w:rPr>
          <w:rFonts w:cs="Arial"/>
          <w:szCs w:val="20"/>
        </w:rPr>
        <w:t>, thus allowing the bank to provide returns for investors.</w:t>
      </w:r>
    </w:p>
    <w:p w:rsidR="004D27AD" w:rsidRPr="00825A8F" w:rsidRDefault="004D27AD" w:rsidP="00825A8F">
      <w:pPr>
        <w:rPr>
          <w:rFonts w:cs="Arial"/>
          <w:szCs w:val="20"/>
        </w:rPr>
      </w:pPr>
      <w:r w:rsidRPr="00825A8F">
        <w:rPr>
          <w:rFonts w:cs="Arial"/>
          <w:szCs w:val="20"/>
        </w:rPr>
        <w:t xml:space="preserve">More than 30 </w:t>
      </w:r>
      <w:r w:rsidR="00B87C3C" w:rsidRPr="00825A8F">
        <w:rPr>
          <w:rFonts w:cs="Arial"/>
          <w:szCs w:val="20"/>
        </w:rPr>
        <w:t xml:space="preserve">U.S. </w:t>
      </w:r>
      <w:r w:rsidRPr="00825A8F">
        <w:rPr>
          <w:rFonts w:cs="Arial"/>
          <w:szCs w:val="20"/>
        </w:rPr>
        <w:t>states have already established their own infrastructure banks.</w:t>
      </w:r>
      <w:r w:rsidR="009B375A" w:rsidRPr="00825A8F">
        <w:rPr>
          <w:rStyle w:val="FootnoteReference"/>
          <w:rFonts w:cs="Arial"/>
          <w:szCs w:val="20"/>
        </w:rPr>
        <w:footnoteReference w:id="176"/>
      </w:r>
      <w:r w:rsidRPr="00825A8F">
        <w:rPr>
          <w:rFonts w:cs="Arial"/>
          <w:szCs w:val="20"/>
        </w:rPr>
        <w:t xml:space="preserve"> Most of these state infrastructure banks have limited capital and have not undertaken many projects. They also tend to be limited in the types of infrastructure projects they can fund and may still run into problems</w:t>
      </w:r>
      <w:r w:rsidR="00A00013" w:rsidRPr="00825A8F">
        <w:rPr>
          <w:rFonts w:cs="Arial"/>
          <w:szCs w:val="20"/>
        </w:rPr>
        <w:t xml:space="preserve"> (e.g., </w:t>
      </w:r>
      <w:r w:rsidRPr="00825A8F">
        <w:rPr>
          <w:rFonts w:cs="Arial"/>
          <w:szCs w:val="20"/>
        </w:rPr>
        <w:t>investment projects</w:t>
      </w:r>
      <w:r w:rsidR="00B87C3C" w:rsidRPr="00825A8F">
        <w:rPr>
          <w:rFonts w:cs="Arial"/>
          <w:szCs w:val="20"/>
        </w:rPr>
        <w:t xml:space="preserve"> that cross state or even national borders</w:t>
      </w:r>
      <w:r w:rsidRPr="00825A8F">
        <w:rPr>
          <w:rFonts w:cs="Arial"/>
          <w:szCs w:val="20"/>
        </w:rPr>
        <w:t>, which could be more easily solved by a larger, national infrastructure bank</w:t>
      </w:r>
      <w:r w:rsidR="00A00013" w:rsidRPr="00825A8F">
        <w:rPr>
          <w:rFonts w:cs="Arial"/>
          <w:szCs w:val="20"/>
        </w:rPr>
        <w:t>)</w:t>
      </w:r>
      <w:r w:rsidRPr="00825A8F">
        <w:rPr>
          <w:rFonts w:cs="Arial"/>
          <w:szCs w:val="20"/>
        </w:rPr>
        <w:t>.</w:t>
      </w:r>
    </w:p>
    <w:p w:rsidR="0006489F" w:rsidRPr="00825A8F" w:rsidRDefault="00B87C3C" w:rsidP="00825A8F">
      <w:pPr>
        <w:rPr>
          <w:rFonts w:cs="Arial"/>
          <w:szCs w:val="20"/>
        </w:rPr>
      </w:pPr>
      <w:r w:rsidRPr="00825A8F">
        <w:rPr>
          <w:rFonts w:cs="Arial"/>
          <w:szCs w:val="20"/>
        </w:rPr>
        <w:t xml:space="preserve">Due to the large </w:t>
      </w:r>
      <w:r w:rsidR="000873FF" w:rsidRPr="00825A8F">
        <w:rPr>
          <w:rFonts w:cs="Arial"/>
          <w:szCs w:val="20"/>
        </w:rPr>
        <w:t xml:space="preserve">scale of </w:t>
      </w:r>
      <w:r w:rsidRPr="00825A8F">
        <w:rPr>
          <w:rFonts w:cs="Arial"/>
          <w:szCs w:val="20"/>
        </w:rPr>
        <w:t xml:space="preserve">investments required to provide AFV infrastructure and the coordination </w:t>
      </w:r>
      <w:r w:rsidR="00A00013" w:rsidRPr="00825A8F">
        <w:rPr>
          <w:rFonts w:cs="Arial"/>
          <w:szCs w:val="20"/>
        </w:rPr>
        <w:t>necessary</w:t>
      </w:r>
      <w:r w:rsidRPr="00825A8F">
        <w:rPr>
          <w:rFonts w:cs="Arial"/>
          <w:szCs w:val="20"/>
        </w:rPr>
        <w:t xml:space="preserve"> to ensure that fuel is available along major corridors, a large infrastructure bank capable of cross-border projects could </w:t>
      </w:r>
      <w:r w:rsidR="000873FF" w:rsidRPr="00825A8F">
        <w:rPr>
          <w:rFonts w:cs="Arial"/>
          <w:szCs w:val="20"/>
        </w:rPr>
        <w:t>go a long way towards making new infrastructure possible</w:t>
      </w:r>
      <w:r w:rsidR="0006489F" w:rsidRPr="00825A8F">
        <w:rPr>
          <w:rFonts w:cs="Arial"/>
          <w:szCs w:val="20"/>
        </w:rPr>
        <w:t xml:space="preserve"> in the United States</w:t>
      </w:r>
      <w:r w:rsidR="000873FF" w:rsidRPr="00825A8F">
        <w:rPr>
          <w:rFonts w:cs="Arial"/>
          <w:szCs w:val="20"/>
        </w:rPr>
        <w:t xml:space="preserve">. </w:t>
      </w:r>
      <w:r w:rsidR="0006489F" w:rsidRPr="00825A8F">
        <w:rPr>
          <w:rFonts w:cs="Arial"/>
          <w:szCs w:val="20"/>
        </w:rPr>
        <w:t>Development banks in the European Union and Brazil already have</w:t>
      </w:r>
      <w:r w:rsidR="005B6722" w:rsidRPr="00825A8F">
        <w:rPr>
          <w:rFonts w:cs="Arial"/>
          <w:szCs w:val="20"/>
        </w:rPr>
        <w:t xml:space="preserve"> extensive </w:t>
      </w:r>
      <w:r w:rsidR="0006489F" w:rsidRPr="00825A8F">
        <w:rPr>
          <w:rFonts w:cs="Arial"/>
          <w:szCs w:val="20"/>
        </w:rPr>
        <w:t>experience financing AFV infrastructure projects.</w:t>
      </w:r>
    </w:p>
    <w:p w:rsidR="00A03782" w:rsidRPr="008720F3" w:rsidRDefault="00FC65A3" w:rsidP="00825A8F">
      <w:pPr>
        <w:pStyle w:val="Heading2"/>
      </w:pPr>
      <w:bookmarkStart w:id="68" w:name="_Toc352854213"/>
      <w:r w:rsidRPr="008720F3">
        <w:t>Public-Private Partnership</w:t>
      </w:r>
      <w:r w:rsidR="0050120B" w:rsidRPr="008720F3">
        <w:t>s</w:t>
      </w:r>
      <w:bookmarkEnd w:id="68"/>
    </w:p>
    <w:p w:rsidR="00023FAA" w:rsidRPr="00825A8F" w:rsidRDefault="002579D6" w:rsidP="00825A8F">
      <w:pPr>
        <w:rPr>
          <w:rFonts w:cs="Arial"/>
          <w:szCs w:val="24"/>
        </w:rPr>
      </w:pPr>
      <w:r w:rsidRPr="00825A8F">
        <w:rPr>
          <w:rFonts w:cs="Arial"/>
          <w:bCs/>
          <w:szCs w:val="20"/>
        </w:rPr>
        <w:t>G</w:t>
      </w:r>
      <w:r w:rsidR="00221BEF" w:rsidRPr="00825A8F">
        <w:rPr>
          <w:rFonts w:cs="Arial"/>
          <w:bCs/>
          <w:szCs w:val="20"/>
        </w:rPr>
        <w:t>overnment involvement with industry is likely to be needed to help coordinate commercial deployment of alterna</w:t>
      </w:r>
      <w:r w:rsidR="00221BEF" w:rsidRPr="00825A8F">
        <w:rPr>
          <w:rFonts w:cs="Arial"/>
          <w:bCs/>
          <w:szCs w:val="20"/>
        </w:rPr>
        <w:softHyphen/>
        <w:t>tive vehicles with the fueling i</w:t>
      </w:r>
      <w:r w:rsidRPr="00825A8F">
        <w:rPr>
          <w:rFonts w:cs="Arial"/>
          <w:bCs/>
          <w:szCs w:val="20"/>
        </w:rPr>
        <w:t xml:space="preserve">nfrastructure for AFVs, but government efforts may be limited by political and economic issues. In addition, the inclusion of private </w:t>
      </w:r>
      <w:r w:rsidR="00023FAA" w:rsidRPr="00825A8F">
        <w:rPr>
          <w:rFonts w:cs="Arial"/>
          <w:bCs/>
          <w:szCs w:val="20"/>
        </w:rPr>
        <w:t xml:space="preserve">interests can help reduce costs and complete projects more quickly. </w:t>
      </w:r>
      <w:r w:rsidR="00433A48" w:rsidRPr="00825A8F">
        <w:rPr>
          <w:rFonts w:cs="Arial"/>
          <w:szCs w:val="24"/>
        </w:rPr>
        <w:t>Infrastructure</w:t>
      </w:r>
      <w:r w:rsidR="00023FAA" w:rsidRPr="00825A8F">
        <w:rPr>
          <w:rFonts w:cs="Arial"/>
          <w:szCs w:val="24"/>
        </w:rPr>
        <w:t xml:space="preserve"> projects </w:t>
      </w:r>
      <w:r w:rsidR="00433A48" w:rsidRPr="00825A8F">
        <w:rPr>
          <w:rFonts w:cs="Arial"/>
          <w:szCs w:val="24"/>
        </w:rPr>
        <w:t xml:space="preserve">can be funded using traditional public </w:t>
      </w:r>
      <w:r w:rsidR="00023FAA" w:rsidRPr="00825A8F">
        <w:rPr>
          <w:rFonts w:cs="Arial"/>
          <w:szCs w:val="24"/>
        </w:rPr>
        <w:t xml:space="preserve">or private </w:t>
      </w:r>
      <w:r w:rsidR="00433A48" w:rsidRPr="00825A8F">
        <w:rPr>
          <w:rFonts w:cs="Arial"/>
          <w:szCs w:val="24"/>
        </w:rPr>
        <w:t>financing</w:t>
      </w:r>
      <w:r w:rsidR="00023FAA" w:rsidRPr="00825A8F">
        <w:rPr>
          <w:rFonts w:cs="Arial"/>
          <w:szCs w:val="24"/>
        </w:rPr>
        <w:t xml:space="preserve"> methods</w:t>
      </w:r>
      <w:r w:rsidR="00433A48" w:rsidRPr="00825A8F">
        <w:rPr>
          <w:rFonts w:cs="Arial"/>
          <w:szCs w:val="24"/>
        </w:rPr>
        <w:t xml:space="preserve"> or alternative approaches, such as a public-private partnership (PPP). </w:t>
      </w:r>
    </w:p>
    <w:p w:rsidR="00433A48" w:rsidRPr="00825A8F" w:rsidRDefault="00023FAA" w:rsidP="00825A8F">
      <w:pPr>
        <w:rPr>
          <w:rFonts w:cs="Arial"/>
          <w:bCs/>
          <w:szCs w:val="20"/>
        </w:rPr>
      </w:pPr>
      <w:r w:rsidRPr="00825A8F">
        <w:rPr>
          <w:rFonts w:cs="Arial"/>
          <w:szCs w:val="24"/>
        </w:rPr>
        <w:t xml:space="preserve">The potential benefits of PPPs are illustrated in the following example: </w:t>
      </w:r>
      <w:r w:rsidR="00433A48" w:rsidRPr="00825A8F">
        <w:rPr>
          <w:rFonts w:cs="Arial"/>
          <w:szCs w:val="24"/>
        </w:rPr>
        <w:t>Along the border between southern Indiana and Louisville, Kentucky</w:t>
      </w:r>
      <w:r w:rsidR="007831F2" w:rsidRPr="00825A8F">
        <w:rPr>
          <w:rFonts w:cs="Arial"/>
          <w:szCs w:val="24"/>
        </w:rPr>
        <w:t>,</w:t>
      </w:r>
      <w:r w:rsidR="00433A48" w:rsidRPr="00825A8F">
        <w:rPr>
          <w:rFonts w:cs="Arial"/>
          <w:szCs w:val="24"/>
        </w:rPr>
        <w:t xml:space="preserve"> two similar bridges are being constructed</w:t>
      </w:r>
      <w:r w:rsidR="007831F2" w:rsidRPr="00825A8F">
        <w:rPr>
          <w:rFonts w:cs="Arial"/>
          <w:szCs w:val="24"/>
        </w:rPr>
        <w:t>. D</w:t>
      </w:r>
      <w:r w:rsidR="00433A48" w:rsidRPr="00825A8F">
        <w:rPr>
          <w:rFonts w:cs="Arial"/>
          <w:szCs w:val="24"/>
        </w:rPr>
        <w:t>ue to differences in state laws, one is being built and maintained using public funds</w:t>
      </w:r>
      <w:r w:rsidR="007831F2" w:rsidRPr="00825A8F">
        <w:rPr>
          <w:rFonts w:cs="Arial"/>
          <w:szCs w:val="24"/>
        </w:rPr>
        <w:t>,</w:t>
      </w:r>
      <w:r w:rsidR="00433A48" w:rsidRPr="00825A8F">
        <w:rPr>
          <w:rFonts w:cs="Arial"/>
          <w:szCs w:val="24"/>
        </w:rPr>
        <w:t xml:space="preserve"> while the other is making use of a PPP.</w:t>
      </w:r>
      <w:r w:rsidR="00433A48" w:rsidRPr="00825A8F">
        <w:rPr>
          <w:rStyle w:val="FootnoteReference"/>
          <w:rFonts w:cs="Arial"/>
          <w:szCs w:val="24"/>
        </w:rPr>
        <w:footnoteReference w:id="177"/>
      </w:r>
      <w:r w:rsidR="00433A48" w:rsidRPr="00825A8F">
        <w:rPr>
          <w:rFonts w:cs="Arial"/>
          <w:szCs w:val="24"/>
        </w:rPr>
        <w:t xml:space="preserve"> </w:t>
      </w:r>
      <w:r w:rsidR="007831F2" w:rsidRPr="00825A8F">
        <w:rPr>
          <w:rFonts w:cs="Arial"/>
          <w:szCs w:val="24"/>
        </w:rPr>
        <w:t>T</w:t>
      </w:r>
      <w:r w:rsidR="00433A48" w:rsidRPr="00825A8F">
        <w:rPr>
          <w:rFonts w:cs="Arial"/>
          <w:szCs w:val="24"/>
        </w:rPr>
        <w:t xml:space="preserve">he bridge being built and managed by the PPP has </w:t>
      </w:r>
      <w:r w:rsidR="007831F2" w:rsidRPr="00825A8F">
        <w:rPr>
          <w:rFonts w:cs="Arial"/>
          <w:szCs w:val="24"/>
        </w:rPr>
        <w:t xml:space="preserve">already </w:t>
      </w:r>
      <w:r w:rsidR="00433A48" w:rsidRPr="00825A8F">
        <w:rPr>
          <w:rFonts w:cs="Arial"/>
          <w:szCs w:val="24"/>
        </w:rPr>
        <w:t xml:space="preserve">saved $225 million on the proposed cost of construction. In addition, because the construction of the bridge has been bundled with the maintenance and operating costs of its first 35 years, the PPP considered design alternatives to ensure that the bridge would have lower maintenance costs. </w:t>
      </w:r>
    </w:p>
    <w:p w:rsidR="00433A48" w:rsidRPr="00825A8F" w:rsidRDefault="00433A48" w:rsidP="00825A8F">
      <w:pPr>
        <w:rPr>
          <w:rFonts w:cs="Arial"/>
          <w:szCs w:val="24"/>
        </w:rPr>
      </w:pPr>
      <w:r w:rsidRPr="00825A8F">
        <w:rPr>
          <w:rFonts w:cs="Arial"/>
          <w:szCs w:val="24"/>
        </w:rPr>
        <w:t>In the United States, financing through PPPs is growing at a healthy rate; infrastructure funding involving PPPs has increased fivefold from 1998 to 2007. Compared to many other countries, however, the United States still has a relatively low level of PPP financing</w:t>
      </w:r>
      <w:r w:rsidR="007831F2" w:rsidRPr="00825A8F">
        <w:rPr>
          <w:rFonts w:cs="Arial"/>
          <w:szCs w:val="24"/>
        </w:rPr>
        <w:t>.</w:t>
      </w:r>
      <w:r w:rsidRPr="00825A8F">
        <w:rPr>
          <w:rFonts w:cs="Arial"/>
          <w:szCs w:val="24"/>
        </w:rPr>
        <w:t xml:space="preserve"> </w:t>
      </w:r>
      <w:r w:rsidR="007831F2" w:rsidRPr="00825A8F">
        <w:rPr>
          <w:rFonts w:cs="Arial"/>
          <w:szCs w:val="24"/>
        </w:rPr>
        <w:t>F</w:t>
      </w:r>
      <w:r w:rsidRPr="00825A8F">
        <w:rPr>
          <w:rFonts w:cs="Arial"/>
          <w:szCs w:val="24"/>
        </w:rPr>
        <w:t>rom 1990 to 2006, $10 billion in funding for U.S. transportation infrastructure was committed</w:t>
      </w:r>
      <w:r w:rsidR="007831F2" w:rsidRPr="00825A8F">
        <w:rPr>
          <w:rFonts w:cs="Arial"/>
          <w:szCs w:val="24"/>
        </w:rPr>
        <w:t>;</w:t>
      </w:r>
      <w:r w:rsidRPr="00825A8F">
        <w:rPr>
          <w:rFonts w:cs="Arial"/>
          <w:szCs w:val="24"/>
        </w:rPr>
        <w:t xml:space="preserve"> for the same period in the United Kingdom, a much smaller country in terms of its geography and economy, </w:t>
      </w:r>
      <w:r w:rsidR="00A8227E" w:rsidRPr="00825A8F">
        <w:rPr>
          <w:rFonts w:cs="Arial"/>
          <w:szCs w:val="24"/>
        </w:rPr>
        <w:t xml:space="preserve">the amount of transportation infrastructure investment financed through PPPs </w:t>
      </w:r>
      <w:r w:rsidRPr="00825A8F">
        <w:rPr>
          <w:rFonts w:cs="Arial"/>
          <w:szCs w:val="24"/>
        </w:rPr>
        <w:t>was $50 billion.</w:t>
      </w:r>
      <w:r w:rsidRPr="00825A8F">
        <w:rPr>
          <w:rStyle w:val="FootnoteReference"/>
          <w:rFonts w:cs="Arial"/>
          <w:szCs w:val="24"/>
        </w:rPr>
        <w:footnoteReference w:id="178"/>
      </w:r>
    </w:p>
    <w:p w:rsidR="00023FAA" w:rsidRPr="00825A8F" w:rsidRDefault="00023FAA" w:rsidP="00825A8F">
      <w:pPr>
        <w:rPr>
          <w:rFonts w:cs="Arial"/>
          <w:szCs w:val="24"/>
        </w:rPr>
      </w:pPr>
      <w:r w:rsidRPr="00825A8F">
        <w:rPr>
          <w:rFonts w:cs="Arial"/>
          <w:szCs w:val="24"/>
        </w:rPr>
        <w:t xml:space="preserve">There are many types of PPPs that could be used to assist in the deployment of AFV infrastructure. </w:t>
      </w:r>
      <w:r w:rsidR="001C603C" w:rsidRPr="00825A8F">
        <w:rPr>
          <w:rFonts w:cs="Arial"/>
          <w:szCs w:val="24"/>
        </w:rPr>
        <w:t xml:space="preserve">U.S. Department of Energy </w:t>
      </w:r>
      <w:r w:rsidR="006A30A7" w:rsidRPr="00825A8F">
        <w:rPr>
          <w:rFonts w:cs="Arial"/>
          <w:szCs w:val="24"/>
        </w:rPr>
        <w:t xml:space="preserve">(DOE) </w:t>
      </w:r>
      <w:r w:rsidRPr="00825A8F">
        <w:rPr>
          <w:rFonts w:cs="Arial"/>
          <w:szCs w:val="24"/>
        </w:rPr>
        <w:t xml:space="preserve">Section 136 collateralized loans used to finance automaker investment in </w:t>
      </w:r>
      <w:r w:rsidRPr="00825A8F">
        <w:rPr>
          <w:rFonts w:cs="Arial"/>
          <w:szCs w:val="24"/>
        </w:rPr>
        <w:lastRenderedPageBreak/>
        <w:t>advanced technology vehicles and various cost-share grants to develop AFV infrastructure are discussed as examples.</w:t>
      </w:r>
    </w:p>
    <w:p w:rsidR="0037255D" w:rsidRPr="008720F3" w:rsidRDefault="00597A78" w:rsidP="00825A8F">
      <w:pPr>
        <w:pStyle w:val="Heading3"/>
      </w:pPr>
      <w:bookmarkStart w:id="69" w:name="_Toc352854214"/>
      <w:r w:rsidRPr="008720F3">
        <w:t>Collateralized L</w:t>
      </w:r>
      <w:r w:rsidR="0037255D" w:rsidRPr="008720F3">
        <w:t>oans</w:t>
      </w:r>
      <w:bookmarkEnd w:id="69"/>
    </w:p>
    <w:p w:rsidR="00604630" w:rsidRPr="00825A8F" w:rsidRDefault="000C7465" w:rsidP="005A7A48">
      <w:pPr>
        <w:rPr>
          <w:rFonts w:cs="Arial"/>
          <w:szCs w:val="20"/>
        </w:rPr>
      </w:pPr>
      <w:r w:rsidRPr="00825A8F">
        <w:rPr>
          <w:rFonts w:cs="Arial"/>
          <w:szCs w:val="20"/>
        </w:rPr>
        <w:t xml:space="preserve">Collateralized loans are </w:t>
      </w:r>
      <w:r w:rsidR="007831F2" w:rsidRPr="00825A8F">
        <w:rPr>
          <w:rFonts w:cs="Arial"/>
          <w:szCs w:val="20"/>
        </w:rPr>
        <w:t xml:space="preserve">a </w:t>
      </w:r>
      <w:r w:rsidRPr="00825A8F">
        <w:rPr>
          <w:rFonts w:cs="Arial"/>
          <w:szCs w:val="20"/>
        </w:rPr>
        <w:t xml:space="preserve">secured asset. In the event of a default on a loan, the debtor will release the asset </w:t>
      </w:r>
      <w:r w:rsidR="007831F2" w:rsidRPr="00825A8F">
        <w:rPr>
          <w:rFonts w:cs="Arial"/>
          <w:szCs w:val="20"/>
        </w:rPr>
        <w:t xml:space="preserve">to </w:t>
      </w:r>
      <w:r w:rsidRPr="00825A8F">
        <w:rPr>
          <w:rFonts w:cs="Arial"/>
          <w:szCs w:val="20"/>
        </w:rPr>
        <w:t>the lender. Collateralized loans result in less risk for the lender, and may make it easier or less expensive to obtain funding. In the event of a loan default, the lender can sell the asset to recover some of the losses</w:t>
      </w:r>
      <w:r w:rsidR="00604630" w:rsidRPr="00825A8F">
        <w:rPr>
          <w:rFonts w:cs="Arial"/>
          <w:szCs w:val="20"/>
        </w:rPr>
        <w:t>.</w:t>
      </w:r>
    </w:p>
    <w:p w:rsidR="009B245E" w:rsidRPr="00825A8F" w:rsidRDefault="007831F2" w:rsidP="005A7A48">
      <w:pPr>
        <w:rPr>
          <w:rFonts w:cs="Arial"/>
          <w:szCs w:val="20"/>
        </w:rPr>
      </w:pPr>
      <w:r w:rsidRPr="00825A8F">
        <w:rPr>
          <w:rFonts w:cs="Arial"/>
          <w:szCs w:val="20"/>
        </w:rPr>
        <w:t>T</w:t>
      </w:r>
      <w:r w:rsidR="009B245E" w:rsidRPr="00825A8F">
        <w:rPr>
          <w:rFonts w:cs="Arial"/>
          <w:szCs w:val="20"/>
        </w:rPr>
        <w:t xml:space="preserve">he Section 136 loans administered by the </w:t>
      </w:r>
      <w:r w:rsidR="00C102B0" w:rsidRPr="00825A8F">
        <w:rPr>
          <w:rFonts w:cs="Arial"/>
          <w:szCs w:val="20"/>
        </w:rPr>
        <w:t>DOE</w:t>
      </w:r>
      <w:r w:rsidRPr="00825A8F">
        <w:rPr>
          <w:rFonts w:cs="Arial"/>
          <w:szCs w:val="20"/>
        </w:rPr>
        <w:t xml:space="preserve"> are o</w:t>
      </w:r>
      <w:r w:rsidR="006A30A7" w:rsidRPr="00825A8F">
        <w:rPr>
          <w:rFonts w:cs="Arial"/>
          <w:szCs w:val="20"/>
        </w:rPr>
        <w:t>ne example</w:t>
      </w:r>
      <w:r w:rsidRPr="00825A8F">
        <w:rPr>
          <w:rFonts w:cs="Arial"/>
          <w:szCs w:val="20"/>
        </w:rPr>
        <w:t xml:space="preserve"> </w:t>
      </w:r>
      <w:r w:rsidR="006A30A7" w:rsidRPr="00825A8F">
        <w:rPr>
          <w:rFonts w:cs="Arial"/>
          <w:szCs w:val="20"/>
        </w:rPr>
        <w:t xml:space="preserve">of </w:t>
      </w:r>
      <w:r w:rsidRPr="00825A8F">
        <w:rPr>
          <w:rFonts w:cs="Arial"/>
          <w:szCs w:val="20"/>
        </w:rPr>
        <w:t>col</w:t>
      </w:r>
      <w:r w:rsidR="006A30A7" w:rsidRPr="00825A8F">
        <w:rPr>
          <w:rFonts w:cs="Arial"/>
          <w:szCs w:val="20"/>
        </w:rPr>
        <w:t>lateralized loans being</w:t>
      </w:r>
      <w:r w:rsidRPr="00825A8F">
        <w:rPr>
          <w:rFonts w:cs="Arial"/>
          <w:szCs w:val="20"/>
        </w:rPr>
        <w:t xml:space="preserve"> used to support AFV adoption. </w:t>
      </w:r>
      <w:r w:rsidR="000C7465" w:rsidRPr="00825A8F">
        <w:rPr>
          <w:rFonts w:cs="Arial"/>
          <w:szCs w:val="20"/>
        </w:rPr>
        <w:t xml:space="preserve">Under Section 136 of the Energy Independence and Security Act of 2007, the </w:t>
      </w:r>
      <w:r w:rsidR="00597A78" w:rsidRPr="00825A8F">
        <w:rPr>
          <w:rFonts w:cs="Arial"/>
          <w:szCs w:val="20"/>
        </w:rPr>
        <w:t xml:space="preserve">Advanced Technology Vehicles Manufacturing </w:t>
      </w:r>
      <w:r w:rsidR="00120EEE" w:rsidRPr="00825A8F">
        <w:rPr>
          <w:rFonts w:cs="Arial"/>
          <w:szCs w:val="20"/>
        </w:rPr>
        <w:t>(A</w:t>
      </w:r>
      <w:r w:rsidR="00F97FD2" w:rsidRPr="00825A8F">
        <w:rPr>
          <w:rFonts w:cs="Arial"/>
          <w:szCs w:val="20"/>
        </w:rPr>
        <w:t>T</w:t>
      </w:r>
      <w:r w:rsidR="00120EEE" w:rsidRPr="00825A8F">
        <w:rPr>
          <w:rFonts w:cs="Arial"/>
          <w:szCs w:val="20"/>
        </w:rPr>
        <w:t>V</w:t>
      </w:r>
      <w:r w:rsidR="00F97FD2" w:rsidRPr="00825A8F">
        <w:rPr>
          <w:rFonts w:cs="Arial"/>
          <w:szCs w:val="20"/>
        </w:rPr>
        <w:t xml:space="preserve">M) </w:t>
      </w:r>
      <w:r w:rsidR="000C7465" w:rsidRPr="00825A8F">
        <w:rPr>
          <w:rFonts w:cs="Arial"/>
          <w:szCs w:val="20"/>
        </w:rPr>
        <w:t xml:space="preserve">loans program was created. In September 2008, Congress appropriated $7.5 billion </w:t>
      </w:r>
      <w:r w:rsidR="00F97FD2" w:rsidRPr="00825A8F">
        <w:rPr>
          <w:rFonts w:cs="Arial"/>
          <w:szCs w:val="20"/>
        </w:rPr>
        <w:t xml:space="preserve">which was to be leveraged </w:t>
      </w:r>
      <w:r w:rsidR="000C7465" w:rsidRPr="00825A8F">
        <w:rPr>
          <w:rFonts w:cs="Arial"/>
          <w:szCs w:val="20"/>
        </w:rPr>
        <w:t xml:space="preserve">to support loans </w:t>
      </w:r>
      <w:r w:rsidR="00F97FD2" w:rsidRPr="00825A8F">
        <w:rPr>
          <w:rFonts w:cs="Arial"/>
          <w:szCs w:val="20"/>
        </w:rPr>
        <w:t>totaling</w:t>
      </w:r>
      <w:r w:rsidR="000C7465" w:rsidRPr="00825A8F">
        <w:rPr>
          <w:rFonts w:cs="Arial"/>
          <w:szCs w:val="20"/>
        </w:rPr>
        <w:t xml:space="preserve"> $25 billion</w:t>
      </w:r>
      <w:r w:rsidR="00F97FD2" w:rsidRPr="00825A8F">
        <w:rPr>
          <w:rFonts w:cs="Arial"/>
          <w:szCs w:val="20"/>
        </w:rPr>
        <w:t>.</w:t>
      </w:r>
      <w:r w:rsidR="00F97FD2" w:rsidRPr="00825A8F">
        <w:rPr>
          <w:rStyle w:val="FootnoteReference"/>
          <w:rFonts w:cs="Arial"/>
          <w:szCs w:val="20"/>
        </w:rPr>
        <w:footnoteReference w:id="179"/>
      </w:r>
      <w:r w:rsidR="00F97FD2" w:rsidRPr="00825A8F">
        <w:rPr>
          <w:rFonts w:cs="Arial"/>
          <w:szCs w:val="20"/>
        </w:rPr>
        <w:t xml:space="preserve"> The </w:t>
      </w:r>
      <w:r w:rsidR="00841656" w:rsidRPr="00825A8F">
        <w:rPr>
          <w:rFonts w:cs="Arial"/>
          <w:szCs w:val="20"/>
        </w:rPr>
        <w:t>long-term, low-interest</w:t>
      </w:r>
      <w:r w:rsidR="00841656" w:rsidRPr="00825A8F">
        <w:rPr>
          <w:rStyle w:val="FootnoteReference"/>
          <w:rFonts w:cs="Arial"/>
          <w:szCs w:val="20"/>
        </w:rPr>
        <w:footnoteReference w:id="180"/>
      </w:r>
      <w:r w:rsidR="00841656" w:rsidRPr="00825A8F">
        <w:rPr>
          <w:rFonts w:cs="Arial"/>
          <w:szCs w:val="20"/>
        </w:rPr>
        <w:t xml:space="preserve"> </w:t>
      </w:r>
      <w:r w:rsidR="00F97FD2" w:rsidRPr="00825A8F">
        <w:rPr>
          <w:rFonts w:cs="Arial"/>
          <w:szCs w:val="20"/>
        </w:rPr>
        <w:t>loans were designed for automakers</w:t>
      </w:r>
      <w:r w:rsidR="00597A78" w:rsidRPr="00825A8F">
        <w:rPr>
          <w:rFonts w:cs="Arial"/>
          <w:szCs w:val="20"/>
        </w:rPr>
        <w:t xml:space="preserve"> and </w:t>
      </w:r>
      <w:r w:rsidR="00F97FD2" w:rsidRPr="00825A8F">
        <w:rPr>
          <w:rFonts w:cs="Arial"/>
          <w:szCs w:val="20"/>
        </w:rPr>
        <w:t>auto</w:t>
      </w:r>
      <w:r w:rsidR="00597A78" w:rsidRPr="00825A8F">
        <w:rPr>
          <w:rFonts w:cs="Arial"/>
          <w:szCs w:val="20"/>
        </w:rPr>
        <w:t xml:space="preserve"> suppliers </w:t>
      </w:r>
      <w:r w:rsidR="00F97FD2" w:rsidRPr="00825A8F">
        <w:rPr>
          <w:rFonts w:cs="Arial"/>
          <w:szCs w:val="20"/>
        </w:rPr>
        <w:t>for "reequipping, expanding or establishing manufacturing facilities in the United States" to produce high fuel-economy vehicles, including AFVs.</w:t>
      </w:r>
      <w:r w:rsidR="00F97FD2" w:rsidRPr="00825A8F">
        <w:rPr>
          <w:rStyle w:val="FootnoteReference"/>
          <w:rFonts w:cs="Arial"/>
          <w:szCs w:val="20"/>
        </w:rPr>
        <w:footnoteReference w:id="181"/>
      </w:r>
      <w:r w:rsidR="00F97FD2" w:rsidRPr="00825A8F">
        <w:rPr>
          <w:rFonts w:cs="Arial"/>
          <w:szCs w:val="20"/>
        </w:rPr>
        <w:t xml:space="preserve"> </w:t>
      </w:r>
    </w:p>
    <w:p w:rsidR="00F97FD2" w:rsidRPr="00825A8F" w:rsidRDefault="009B245E" w:rsidP="005A7A48">
      <w:pPr>
        <w:rPr>
          <w:rFonts w:cs="Arial"/>
          <w:szCs w:val="20"/>
        </w:rPr>
      </w:pPr>
      <w:r w:rsidRPr="00825A8F">
        <w:rPr>
          <w:rFonts w:cs="Arial"/>
          <w:szCs w:val="20"/>
        </w:rPr>
        <w:t>Loan recipients have included Fisker Automotive, Ford Motor Company, Nissan North America, Tesla Motors, and Vehicle Production Group. Ford received the largest amount from the program, with $5.9 billion in loans. Nissan also received a large loan of over $1.4 billion. To date, only $8.4 billion of the $25 billion has been lent out.</w:t>
      </w:r>
      <w:r w:rsidR="00841656" w:rsidRPr="00825A8F">
        <w:rPr>
          <w:rStyle w:val="FootnoteReference"/>
          <w:rFonts w:cs="Arial"/>
          <w:szCs w:val="20"/>
        </w:rPr>
        <w:footnoteReference w:id="182"/>
      </w:r>
      <w:r w:rsidR="00F97FD2" w:rsidRPr="00825A8F">
        <w:rPr>
          <w:rFonts w:cs="Arial"/>
          <w:szCs w:val="20"/>
        </w:rPr>
        <w:t xml:space="preserve"> </w:t>
      </w:r>
      <w:r w:rsidRPr="00825A8F">
        <w:rPr>
          <w:rFonts w:cs="Arial"/>
          <w:szCs w:val="20"/>
        </w:rPr>
        <w:t>While Section 136 loans were used to encourage automaker investment in production facilities, a similar loan program could be used to support investment in refueling infrastructure.</w:t>
      </w:r>
      <w:r w:rsidR="00841656" w:rsidRPr="00825A8F">
        <w:rPr>
          <w:rFonts w:cs="Arial"/>
          <w:szCs w:val="20"/>
        </w:rPr>
        <w:t xml:space="preserve"> With congressional action, the Section 136 program itself could even be expanded to include alternative fuel providers in addition to automakers and suppliers.</w:t>
      </w:r>
    </w:p>
    <w:p w:rsidR="00841656" w:rsidRPr="008720F3" w:rsidRDefault="00841656" w:rsidP="005A7A48">
      <w:pPr>
        <w:pStyle w:val="Heading3"/>
      </w:pPr>
      <w:bookmarkStart w:id="70" w:name="_Toc352854215"/>
      <w:r w:rsidRPr="008720F3">
        <w:t>Cost-Share Grants</w:t>
      </w:r>
      <w:bookmarkEnd w:id="70"/>
    </w:p>
    <w:p w:rsidR="0037255D" w:rsidRPr="005A7A48" w:rsidRDefault="00A76697" w:rsidP="005A7A48">
      <w:pPr>
        <w:rPr>
          <w:rFonts w:cs="Arial"/>
          <w:szCs w:val="20"/>
        </w:rPr>
      </w:pPr>
      <w:r w:rsidRPr="005A7A48">
        <w:rPr>
          <w:rFonts w:cs="Arial"/>
          <w:szCs w:val="20"/>
        </w:rPr>
        <w:t xml:space="preserve">One way that governments can gain greater investment from grant money is to require matching funds from other organizations. The U.S. highway program is funded in this way, with the federal government providing $4 for every $1 of state funds spent on highway projects </w:t>
      </w:r>
      <w:r w:rsidR="00FF6617" w:rsidRPr="005A7A48">
        <w:rPr>
          <w:rFonts w:cs="Arial"/>
          <w:szCs w:val="20"/>
        </w:rPr>
        <w:t>(up to an annual</w:t>
      </w:r>
      <w:r w:rsidRPr="005A7A48">
        <w:rPr>
          <w:rFonts w:cs="Arial"/>
          <w:szCs w:val="20"/>
        </w:rPr>
        <w:t xml:space="preserve"> allocation</w:t>
      </w:r>
      <w:r w:rsidR="00FF6617" w:rsidRPr="005A7A48">
        <w:rPr>
          <w:rFonts w:cs="Arial"/>
          <w:szCs w:val="20"/>
        </w:rPr>
        <w:t xml:space="preserve"> specified for each state</w:t>
      </w:r>
      <w:r w:rsidRPr="005A7A48">
        <w:rPr>
          <w:rFonts w:cs="Arial"/>
          <w:szCs w:val="20"/>
        </w:rPr>
        <w:t xml:space="preserve">). </w:t>
      </w:r>
      <w:r w:rsidR="0037255D" w:rsidRPr="005A7A48">
        <w:rPr>
          <w:rFonts w:cs="Arial"/>
          <w:szCs w:val="20"/>
        </w:rPr>
        <w:t xml:space="preserve">Government grants which require private company investment </w:t>
      </w:r>
      <w:r w:rsidR="00FF6617" w:rsidRPr="005A7A48">
        <w:rPr>
          <w:rFonts w:cs="Arial"/>
          <w:szCs w:val="20"/>
        </w:rPr>
        <w:t>have been used to deploy AFV infrastructure. Some examples of these projects include</w:t>
      </w:r>
      <w:r w:rsidR="007F22F0" w:rsidRPr="005A7A48">
        <w:rPr>
          <w:rFonts w:cs="Arial"/>
          <w:szCs w:val="20"/>
        </w:rPr>
        <w:t xml:space="preserve"> Clean Cities</w:t>
      </w:r>
      <w:r w:rsidR="00221BEF" w:rsidRPr="005A7A48">
        <w:rPr>
          <w:rFonts w:cs="Arial"/>
          <w:szCs w:val="20"/>
        </w:rPr>
        <w:t xml:space="preserve">, ChargePoint America, </w:t>
      </w:r>
      <w:r w:rsidR="00FF6617" w:rsidRPr="005A7A48">
        <w:rPr>
          <w:rFonts w:cs="Arial"/>
          <w:szCs w:val="20"/>
        </w:rPr>
        <w:t xml:space="preserve">and the </w:t>
      </w:r>
      <w:r w:rsidR="00221BEF" w:rsidRPr="005A7A48">
        <w:rPr>
          <w:rFonts w:cs="Arial"/>
          <w:szCs w:val="20"/>
        </w:rPr>
        <w:t>EV Project</w:t>
      </w:r>
      <w:r w:rsidR="00FF6617" w:rsidRPr="005A7A48">
        <w:rPr>
          <w:rFonts w:cs="Arial"/>
          <w:szCs w:val="20"/>
        </w:rPr>
        <w:t>, each of which was awarded c</w:t>
      </w:r>
      <w:r w:rsidR="007F58CB" w:rsidRPr="005A7A48">
        <w:rPr>
          <w:rFonts w:cs="Arial"/>
          <w:szCs w:val="20"/>
        </w:rPr>
        <w:t>ost-sharing grants from the</w:t>
      </w:r>
      <w:r w:rsidR="00FF6617" w:rsidRPr="005A7A48">
        <w:rPr>
          <w:rFonts w:cs="Arial"/>
          <w:szCs w:val="20"/>
        </w:rPr>
        <w:t xml:space="preserve"> </w:t>
      </w:r>
      <w:r w:rsidR="00C102B0" w:rsidRPr="005A7A48">
        <w:rPr>
          <w:rFonts w:cs="Arial"/>
          <w:szCs w:val="20"/>
        </w:rPr>
        <w:t>DOE</w:t>
      </w:r>
      <w:r w:rsidR="00FF6617" w:rsidRPr="005A7A48">
        <w:rPr>
          <w:rFonts w:cs="Arial"/>
          <w:szCs w:val="20"/>
        </w:rPr>
        <w:t>.</w:t>
      </w:r>
      <w:r w:rsidR="00A307C3" w:rsidRPr="005A7A48">
        <w:rPr>
          <w:rStyle w:val="FootnoteReference"/>
          <w:rFonts w:cs="Arial"/>
          <w:szCs w:val="20"/>
        </w:rPr>
        <w:footnoteReference w:id="183"/>
      </w:r>
    </w:p>
    <w:p w:rsidR="00C102B0" w:rsidRPr="005A7A48" w:rsidRDefault="00FF6617" w:rsidP="005A7A48">
      <w:pPr>
        <w:rPr>
          <w:rFonts w:cs="Arial"/>
          <w:szCs w:val="24"/>
        </w:rPr>
      </w:pPr>
      <w:r w:rsidRPr="005A7A48">
        <w:rPr>
          <w:rFonts w:cs="Arial"/>
          <w:szCs w:val="24"/>
        </w:rPr>
        <w:t xml:space="preserve">The Clean Cities partnership is comprised of nearly 100 local coalitions and </w:t>
      </w:r>
      <w:r w:rsidR="000550E8" w:rsidRPr="005A7A48">
        <w:rPr>
          <w:rFonts w:cs="Arial"/>
          <w:szCs w:val="24"/>
        </w:rPr>
        <w:t>more than 10,000</w:t>
      </w:r>
      <w:r w:rsidRPr="005A7A48">
        <w:rPr>
          <w:rFonts w:cs="Arial"/>
          <w:szCs w:val="24"/>
        </w:rPr>
        <w:t xml:space="preserve"> public and private stakeholders. The mission of Clean Cities is to reduce petroleum consumption</w:t>
      </w:r>
      <w:r w:rsidR="000550E8" w:rsidRPr="005A7A48">
        <w:rPr>
          <w:rFonts w:cs="Arial"/>
          <w:szCs w:val="24"/>
        </w:rPr>
        <w:t xml:space="preserve"> in the transportation sector. I</w:t>
      </w:r>
      <w:r w:rsidRPr="005A7A48">
        <w:rPr>
          <w:rFonts w:cs="Arial"/>
          <w:szCs w:val="24"/>
        </w:rPr>
        <w:t xml:space="preserve">n August 2009, </w:t>
      </w:r>
      <w:r w:rsidR="00C102B0" w:rsidRPr="005A7A48">
        <w:rPr>
          <w:rFonts w:cs="Arial"/>
          <w:szCs w:val="24"/>
        </w:rPr>
        <w:t xml:space="preserve">the DOE awarded </w:t>
      </w:r>
      <w:r w:rsidRPr="005A7A48">
        <w:rPr>
          <w:rFonts w:cs="Arial"/>
          <w:szCs w:val="24"/>
        </w:rPr>
        <w:t xml:space="preserve">25 cost-share grants totaling $300 million </w:t>
      </w:r>
      <w:r w:rsidR="009310BE" w:rsidRPr="005A7A48">
        <w:rPr>
          <w:rFonts w:cs="Arial"/>
          <w:szCs w:val="24"/>
        </w:rPr>
        <w:t xml:space="preserve">for Clean Cities projects </w:t>
      </w:r>
      <w:r w:rsidRPr="005A7A48">
        <w:rPr>
          <w:rFonts w:cs="Arial"/>
          <w:szCs w:val="24"/>
        </w:rPr>
        <w:t xml:space="preserve">from </w:t>
      </w:r>
      <w:r w:rsidR="009310BE" w:rsidRPr="005A7A48">
        <w:rPr>
          <w:rFonts w:cs="Arial"/>
          <w:szCs w:val="24"/>
        </w:rPr>
        <w:t xml:space="preserve">funds allocated by </w:t>
      </w:r>
      <w:r w:rsidRPr="005A7A48">
        <w:rPr>
          <w:rFonts w:cs="Arial"/>
          <w:szCs w:val="24"/>
        </w:rPr>
        <w:t>the American Recovery and Reinvestment Act.</w:t>
      </w:r>
      <w:r w:rsidR="000550E8" w:rsidRPr="005A7A48">
        <w:rPr>
          <w:rFonts w:cs="Arial"/>
          <w:szCs w:val="24"/>
        </w:rPr>
        <w:t xml:space="preserve"> The 25 projects </w:t>
      </w:r>
      <w:r w:rsidRPr="005A7A48">
        <w:rPr>
          <w:rFonts w:cs="Arial"/>
          <w:szCs w:val="24"/>
        </w:rPr>
        <w:t xml:space="preserve">involved investment in </w:t>
      </w:r>
      <w:r w:rsidR="000550E8" w:rsidRPr="005A7A48">
        <w:rPr>
          <w:rFonts w:cs="Arial"/>
          <w:szCs w:val="24"/>
        </w:rPr>
        <w:t xml:space="preserve">a variety of AFV fuel technologies, including biofuels (E85 and B20), </w:t>
      </w:r>
      <w:r w:rsidR="000550E8" w:rsidRPr="005A7A48">
        <w:rPr>
          <w:rFonts w:cs="Arial"/>
          <w:szCs w:val="24"/>
        </w:rPr>
        <w:lastRenderedPageBreak/>
        <w:t>CNG, LPG, and electricity</w:t>
      </w:r>
      <w:r w:rsidRPr="005A7A48">
        <w:rPr>
          <w:rFonts w:cs="Arial"/>
          <w:szCs w:val="24"/>
        </w:rPr>
        <w:t>.</w:t>
      </w:r>
      <w:r w:rsidR="000550E8" w:rsidRPr="005A7A48">
        <w:rPr>
          <w:rStyle w:val="FootnoteReference"/>
          <w:rFonts w:cs="Arial"/>
          <w:szCs w:val="24"/>
        </w:rPr>
        <w:footnoteReference w:id="184"/>
      </w:r>
      <w:r w:rsidRPr="005A7A48">
        <w:rPr>
          <w:rFonts w:cs="Arial"/>
          <w:szCs w:val="24"/>
        </w:rPr>
        <w:t xml:space="preserve"> </w:t>
      </w:r>
      <w:r w:rsidR="00C102B0" w:rsidRPr="005A7A48">
        <w:rPr>
          <w:rFonts w:cs="Arial"/>
          <w:szCs w:val="24"/>
        </w:rPr>
        <w:t>The projects funded by the grant money involved purchasing vehicles and installing infrastructure.</w:t>
      </w:r>
    </w:p>
    <w:p w:rsidR="00FF6617" w:rsidRPr="005A7A48" w:rsidRDefault="00C102B0" w:rsidP="005A7A48">
      <w:pPr>
        <w:rPr>
          <w:rFonts w:cs="Arial"/>
          <w:szCs w:val="24"/>
        </w:rPr>
      </w:pPr>
      <w:r w:rsidRPr="005A7A48">
        <w:rPr>
          <w:rFonts w:cs="Arial"/>
          <w:szCs w:val="24"/>
        </w:rPr>
        <w:t xml:space="preserve">In </w:t>
      </w:r>
      <w:r w:rsidR="00FF6617" w:rsidRPr="005A7A48">
        <w:rPr>
          <w:rFonts w:cs="Arial"/>
          <w:szCs w:val="24"/>
        </w:rPr>
        <w:t xml:space="preserve">2010, the DOE awarded a </w:t>
      </w:r>
      <w:r w:rsidRPr="005A7A48">
        <w:rPr>
          <w:rFonts w:cs="Arial"/>
          <w:szCs w:val="24"/>
        </w:rPr>
        <w:t xml:space="preserve">total of </w:t>
      </w:r>
      <w:r w:rsidR="00FF6617" w:rsidRPr="005A7A48">
        <w:rPr>
          <w:rFonts w:cs="Arial"/>
          <w:szCs w:val="24"/>
        </w:rPr>
        <w:t>$</w:t>
      </w:r>
      <w:r w:rsidRPr="005A7A48">
        <w:rPr>
          <w:rFonts w:cs="Arial"/>
          <w:szCs w:val="24"/>
        </w:rPr>
        <w:t>115</w:t>
      </w:r>
      <w:r w:rsidR="00FF6617" w:rsidRPr="005A7A48">
        <w:rPr>
          <w:rFonts w:cs="Arial"/>
          <w:szCs w:val="24"/>
        </w:rPr>
        <w:t xml:space="preserve"> million </w:t>
      </w:r>
      <w:r w:rsidR="001A7A21" w:rsidRPr="005A7A48">
        <w:rPr>
          <w:rFonts w:cs="Arial"/>
          <w:szCs w:val="24"/>
        </w:rPr>
        <w:t xml:space="preserve">in </w:t>
      </w:r>
      <w:r w:rsidR="00FF6617" w:rsidRPr="005A7A48">
        <w:rPr>
          <w:rFonts w:cs="Arial"/>
          <w:szCs w:val="24"/>
        </w:rPr>
        <w:t>grant</w:t>
      </w:r>
      <w:r w:rsidR="001A7A21" w:rsidRPr="005A7A48">
        <w:rPr>
          <w:rFonts w:cs="Arial"/>
          <w:szCs w:val="24"/>
        </w:rPr>
        <w:t>s</w:t>
      </w:r>
      <w:r w:rsidR="00FF6617" w:rsidRPr="005A7A48">
        <w:rPr>
          <w:rFonts w:cs="Arial"/>
          <w:szCs w:val="24"/>
        </w:rPr>
        <w:t xml:space="preserve"> to Electric Transportation Engineering Corporation (eTec), a subsidiary of ECOtality No</w:t>
      </w:r>
      <w:r w:rsidRPr="005A7A48">
        <w:rPr>
          <w:rFonts w:cs="Arial"/>
          <w:szCs w:val="24"/>
        </w:rPr>
        <w:t>rth America</w:t>
      </w:r>
      <w:r w:rsidR="001A7A21" w:rsidRPr="005A7A48">
        <w:rPr>
          <w:rFonts w:cs="Arial"/>
          <w:szCs w:val="24"/>
        </w:rPr>
        <w:t>,</w:t>
      </w:r>
      <w:r w:rsidRPr="005A7A48">
        <w:rPr>
          <w:rFonts w:cs="Arial"/>
          <w:szCs w:val="24"/>
        </w:rPr>
        <w:t xml:space="preserve"> for the “EV Project.</w:t>
      </w:r>
      <w:r w:rsidR="00FF6617" w:rsidRPr="005A7A48">
        <w:rPr>
          <w:rFonts w:cs="Arial"/>
          <w:szCs w:val="24"/>
        </w:rPr>
        <w:t xml:space="preserve">” </w:t>
      </w:r>
      <w:r w:rsidRPr="005A7A48">
        <w:rPr>
          <w:rFonts w:cs="Arial"/>
          <w:szCs w:val="24"/>
        </w:rPr>
        <w:t xml:space="preserve">The project used the money to provide free residential chargers for electric vehicles to qualifying electric vehicle owners in selected cities. The project also covered the majority of charger installation costs. </w:t>
      </w:r>
      <w:r w:rsidR="00FF6617" w:rsidRPr="005A7A48">
        <w:rPr>
          <w:rFonts w:cs="Arial"/>
          <w:szCs w:val="24"/>
        </w:rPr>
        <w:t xml:space="preserve">When applying for the proposal, eTec had the support of more than 40 government and industry partners, including Nissan North America. With matching funds from partners, the total funding for </w:t>
      </w:r>
      <w:r w:rsidRPr="005A7A48">
        <w:rPr>
          <w:rFonts w:cs="Arial"/>
          <w:szCs w:val="24"/>
        </w:rPr>
        <w:t>the EV P</w:t>
      </w:r>
      <w:r w:rsidR="00FF6617" w:rsidRPr="005A7A48">
        <w:rPr>
          <w:rFonts w:cs="Arial"/>
          <w:szCs w:val="24"/>
        </w:rPr>
        <w:t xml:space="preserve">roject is $230 million. </w:t>
      </w:r>
      <w:r w:rsidRPr="005A7A48">
        <w:rPr>
          <w:rFonts w:cs="Arial"/>
          <w:szCs w:val="24"/>
        </w:rPr>
        <w:t>The</w:t>
      </w:r>
      <w:r w:rsidR="00FF6617" w:rsidRPr="005A7A48">
        <w:rPr>
          <w:rFonts w:cs="Arial"/>
          <w:szCs w:val="24"/>
        </w:rPr>
        <w:t xml:space="preserve"> project </w:t>
      </w:r>
      <w:r w:rsidRPr="005A7A48">
        <w:rPr>
          <w:rFonts w:cs="Arial"/>
          <w:szCs w:val="24"/>
        </w:rPr>
        <w:t xml:space="preserve">installed </w:t>
      </w:r>
      <w:r w:rsidR="00FF6617" w:rsidRPr="005A7A48">
        <w:rPr>
          <w:rFonts w:cs="Arial"/>
          <w:szCs w:val="24"/>
        </w:rPr>
        <w:t>15,000 charging stations.</w:t>
      </w:r>
      <w:r w:rsidR="00FF6617" w:rsidRPr="005A7A48">
        <w:rPr>
          <w:rStyle w:val="FootnoteReference"/>
          <w:rFonts w:cs="Arial"/>
          <w:szCs w:val="24"/>
        </w:rPr>
        <w:footnoteReference w:id="185"/>
      </w:r>
    </w:p>
    <w:p w:rsidR="00FF6617" w:rsidRPr="005A7A48" w:rsidRDefault="00FF6617" w:rsidP="005A7A48">
      <w:pPr>
        <w:rPr>
          <w:rFonts w:cs="Arial"/>
          <w:szCs w:val="24"/>
        </w:rPr>
      </w:pPr>
      <w:r w:rsidRPr="005A7A48">
        <w:rPr>
          <w:rFonts w:cs="Arial"/>
          <w:szCs w:val="24"/>
        </w:rPr>
        <w:t>The ChargePoint America program is a $37 million program sponsored by Coulomb Technologies and made possible through a $15 million investment of stimulus money from the U.S. DOE. Ford, Chevrolet, and Smart USA a</w:t>
      </w:r>
      <w:r w:rsidR="00C102B0" w:rsidRPr="005A7A48">
        <w:rPr>
          <w:rFonts w:cs="Arial"/>
          <w:szCs w:val="24"/>
        </w:rPr>
        <w:t xml:space="preserve">re part of ChargePoint America. </w:t>
      </w:r>
      <w:r w:rsidR="00A307C3" w:rsidRPr="005A7A48">
        <w:rPr>
          <w:rFonts w:cs="Arial"/>
          <w:szCs w:val="24"/>
        </w:rPr>
        <w:t xml:space="preserve">The goal of the </w:t>
      </w:r>
      <w:r w:rsidR="004F1CED" w:rsidRPr="005A7A48">
        <w:rPr>
          <w:rFonts w:cs="Arial"/>
          <w:szCs w:val="24"/>
        </w:rPr>
        <w:t>program i</w:t>
      </w:r>
      <w:r w:rsidR="00A307C3" w:rsidRPr="005A7A48">
        <w:rPr>
          <w:rFonts w:cs="Arial"/>
          <w:szCs w:val="24"/>
        </w:rPr>
        <w:t>s to</w:t>
      </w:r>
      <w:r w:rsidRPr="005A7A48">
        <w:rPr>
          <w:rFonts w:cs="Arial"/>
          <w:szCs w:val="24"/>
        </w:rPr>
        <w:t xml:space="preserve"> install 5,000 </w:t>
      </w:r>
      <w:r w:rsidR="00A307C3" w:rsidRPr="005A7A48">
        <w:rPr>
          <w:rFonts w:cs="Arial"/>
          <w:szCs w:val="24"/>
        </w:rPr>
        <w:t>Level 2</w:t>
      </w:r>
      <w:r w:rsidRPr="005A7A48">
        <w:rPr>
          <w:rFonts w:cs="Arial"/>
          <w:szCs w:val="24"/>
        </w:rPr>
        <w:t xml:space="preserve"> charging stations </w:t>
      </w:r>
      <w:r w:rsidR="00A307C3" w:rsidRPr="005A7A48">
        <w:rPr>
          <w:rFonts w:cs="Arial"/>
          <w:szCs w:val="24"/>
        </w:rPr>
        <w:t xml:space="preserve">in </w:t>
      </w:r>
      <w:r w:rsidRPr="005A7A48">
        <w:rPr>
          <w:rFonts w:cs="Arial"/>
          <w:szCs w:val="24"/>
        </w:rPr>
        <w:t>both public and private</w:t>
      </w:r>
      <w:r w:rsidR="00A307C3" w:rsidRPr="005A7A48">
        <w:rPr>
          <w:rFonts w:cs="Arial"/>
          <w:szCs w:val="24"/>
        </w:rPr>
        <w:t xml:space="preserve"> locations</w:t>
      </w:r>
      <w:r w:rsidRPr="005A7A48">
        <w:rPr>
          <w:rFonts w:cs="Arial"/>
          <w:szCs w:val="24"/>
        </w:rPr>
        <w:t xml:space="preserve">. </w:t>
      </w:r>
      <w:r w:rsidR="004F1CED" w:rsidRPr="005A7A48">
        <w:rPr>
          <w:rFonts w:cs="Arial"/>
          <w:szCs w:val="24"/>
        </w:rPr>
        <w:t xml:space="preserve">Individuals may have a station installed free of charge if they reside in one of </w:t>
      </w:r>
      <w:r w:rsidR="00A307C3" w:rsidRPr="005A7A48">
        <w:rPr>
          <w:rFonts w:cs="Arial"/>
          <w:szCs w:val="24"/>
        </w:rPr>
        <w:t>ten</w:t>
      </w:r>
      <w:r w:rsidRPr="005A7A48">
        <w:rPr>
          <w:rFonts w:cs="Arial"/>
          <w:szCs w:val="24"/>
        </w:rPr>
        <w:t xml:space="preserve"> </w:t>
      </w:r>
      <w:r w:rsidR="00A307C3" w:rsidRPr="005A7A48">
        <w:rPr>
          <w:rFonts w:cs="Arial"/>
          <w:szCs w:val="24"/>
        </w:rPr>
        <w:t xml:space="preserve">selected </w:t>
      </w:r>
      <w:r w:rsidRPr="005A7A48">
        <w:rPr>
          <w:rFonts w:cs="Arial"/>
          <w:szCs w:val="24"/>
        </w:rPr>
        <w:t xml:space="preserve">regions and purchase </w:t>
      </w:r>
      <w:r w:rsidR="004F1CED" w:rsidRPr="005A7A48">
        <w:rPr>
          <w:rFonts w:cs="Arial"/>
          <w:szCs w:val="24"/>
        </w:rPr>
        <w:t>an eligible vehicle</w:t>
      </w:r>
      <w:r w:rsidRPr="005A7A48">
        <w:rPr>
          <w:rFonts w:cs="Arial"/>
          <w:szCs w:val="24"/>
        </w:rPr>
        <w:t xml:space="preserve">. </w:t>
      </w:r>
      <w:r w:rsidR="00A307C3" w:rsidRPr="005A7A48">
        <w:rPr>
          <w:rFonts w:cs="Arial"/>
          <w:szCs w:val="24"/>
        </w:rPr>
        <w:t>As of April 2012, the program had installed more than 2,400 charging stations</w:t>
      </w:r>
      <w:r w:rsidRPr="005A7A48">
        <w:rPr>
          <w:rFonts w:cs="Arial"/>
          <w:szCs w:val="24"/>
        </w:rPr>
        <w:t>.</w:t>
      </w:r>
      <w:r w:rsidRPr="005A7A48">
        <w:rPr>
          <w:rStyle w:val="FootnoteReference"/>
          <w:rFonts w:cs="Arial"/>
          <w:szCs w:val="24"/>
        </w:rPr>
        <w:footnoteReference w:id="186"/>
      </w:r>
    </w:p>
    <w:p w:rsidR="00FC65A3" w:rsidRPr="008720F3" w:rsidRDefault="00FC65A3" w:rsidP="005A7A48">
      <w:pPr>
        <w:pStyle w:val="Heading2"/>
      </w:pPr>
      <w:bookmarkStart w:id="71" w:name="_Toc352854216"/>
      <w:r w:rsidRPr="008720F3">
        <w:t>Private Financing</w:t>
      </w:r>
      <w:bookmarkEnd w:id="71"/>
    </w:p>
    <w:p w:rsidR="00C809C1" w:rsidRPr="005A7A48" w:rsidRDefault="00433A48" w:rsidP="005A7A48">
      <w:pPr>
        <w:rPr>
          <w:rFonts w:cs="Arial"/>
          <w:szCs w:val="20"/>
        </w:rPr>
      </w:pPr>
      <w:r w:rsidRPr="005A7A48">
        <w:rPr>
          <w:rFonts w:cs="Arial"/>
          <w:szCs w:val="20"/>
        </w:rPr>
        <w:t>Private infrastructure projects can make use of corporate finance, which has a higher risk a</w:t>
      </w:r>
      <w:r w:rsidR="001C4B70" w:rsidRPr="005A7A48">
        <w:rPr>
          <w:rFonts w:cs="Arial"/>
          <w:szCs w:val="20"/>
        </w:rPr>
        <w:t>ssociated with it, but may be</w:t>
      </w:r>
      <w:r w:rsidRPr="005A7A48">
        <w:rPr>
          <w:rFonts w:cs="Arial"/>
          <w:szCs w:val="20"/>
        </w:rPr>
        <w:t xml:space="preserve"> less expensive </w:t>
      </w:r>
      <w:r w:rsidR="001C4B70" w:rsidRPr="005A7A48">
        <w:rPr>
          <w:rFonts w:cs="Arial"/>
          <w:szCs w:val="20"/>
        </w:rPr>
        <w:t xml:space="preserve">and complicated </w:t>
      </w:r>
      <w:r w:rsidRPr="005A7A48">
        <w:rPr>
          <w:rFonts w:cs="Arial"/>
          <w:szCs w:val="20"/>
        </w:rPr>
        <w:t>than procuring public financing or creating a PPP.</w:t>
      </w:r>
      <w:r w:rsidR="00C809C1" w:rsidRPr="005A7A48">
        <w:rPr>
          <w:rFonts w:cs="Arial"/>
          <w:szCs w:val="20"/>
        </w:rPr>
        <w:t xml:space="preserve"> </w:t>
      </w:r>
      <w:r w:rsidRPr="005A7A48">
        <w:rPr>
          <w:rFonts w:cs="Arial"/>
          <w:szCs w:val="20"/>
        </w:rPr>
        <w:t xml:space="preserve">Corporate finance is typically </w:t>
      </w:r>
      <w:r w:rsidR="001C4B70" w:rsidRPr="005A7A48">
        <w:rPr>
          <w:rFonts w:cs="Arial"/>
          <w:szCs w:val="20"/>
        </w:rPr>
        <w:t>used for</w:t>
      </w:r>
      <w:r w:rsidRPr="005A7A48">
        <w:rPr>
          <w:rFonts w:cs="Arial"/>
          <w:szCs w:val="20"/>
        </w:rPr>
        <w:t xml:space="preserve"> lower cost projects where the required funding is not significant enough to warrant </w:t>
      </w:r>
      <w:r w:rsidR="001C4B70" w:rsidRPr="005A7A48">
        <w:rPr>
          <w:rFonts w:cs="Arial"/>
          <w:szCs w:val="20"/>
        </w:rPr>
        <w:t xml:space="preserve">other options or where the private entity is so large that projects can be funded through its </w:t>
      </w:r>
      <w:r w:rsidRPr="005A7A48">
        <w:rPr>
          <w:rFonts w:cs="Arial"/>
          <w:szCs w:val="20"/>
        </w:rPr>
        <w:t>balance sheet</w:t>
      </w:r>
      <w:r w:rsidR="001C4B70" w:rsidRPr="005A7A48">
        <w:rPr>
          <w:rFonts w:cs="Arial"/>
          <w:szCs w:val="20"/>
        </w:rPr>
        <w:t xml:space="preserve"> without representing an excessively high amount of risk. When completed, projects will provide a revenue stream which is used to recover the initial investment, pay off debt, and reward investors. For projects with environmental benefits, such as AFV infrastructure, an innovative method of investor funding with returns tied to fees from carbon credits could also be possible.</w:t>
      </w:r>
    </w:p>
    <w:p w:rsidR="00FC65A3" w:rsidRPr="008720F3" w:rsidRDefault="00FC65A3" w:rsidP="005A7A48">
      <w:pPr>
        <w:pStyle w:val="Heading3"/>
      </w:pPr>
      <w:bookmarkStart w:id="72" w:name="_Toc352854217"/>
      <w:r w:rsidRPr="008720F3">
        <w:t>Surcharges and User Fees to Recoup Investment Outlays</w:t>
      </w:r>
      <w:bookmarkEnd w:id="72"/>
    </w:p>
    <w:p w:rsidR="001C4B70" w:rsidRPr="005A7A48" w:rsidRDefault="00030AA6" w:rsidP="005A7A48">
      <w:pPr>
        <w:rPr>
          <w:rFonts w:cs="Arial"/>
          <w:szCs w:val="20"/>
        </w:rPr>
      </w:pPr>
      <w:r w:rsidRPr="005A7A48">
        <w:rPr>
          <w:rFonts w:cs="Arial"/>
          <w:szCs w:val="20"/>
        </w:rPr>
        <w:t>It is common to use</w:t>
      </w:r>
      <w:r w:rsidR="001C4B70" w:rsidRPr="005A7A48">
        <w:rPr>
          <w:rFonts w:cs="Arial"/>
          <w:szCs w:val="20"/>
        </w:rPr>
        <w:t xml:space="preserve"> surcharges to pay off loans</w:t>
      </w:r>
      <w:r w:rsidR="006A30A7" w:rsidRPr="005A7A48">
        <w:rPr>
          <w:rFonts w:cs="Arial"/>
          <w:szCs w:val="20"/>
        </w:rPr>
        <w:t>,</w:t>
      </w:r>
      <w:r w:rsidR="001C4B70" w:rsidRPr="005A7A48">
        <w:rPr>
          <w:rFonts w:cs="Arial"/>
          <w:szCs w:val="20"/>
        </w:rPr>
        <w:t xml:space="preserve"> </w:t>
      </w:r>
      <w:r w:rsidR="006A30A7" w:rsidRPr="005A7A48">
        <w:rPr>
          <w:rFonts w:cs="Arial"/>
          <w:szCs w:val="20"/>
        </w:rPr>
        <w:t>to</w:t>
      </w:r>
      <w:r w:rsidR="001C4B70" w:rsidRPr="005A7A48">
        <w:rPr>
          <w:rFonts w:cs="Arial"/>
          <w:szCs w:val="20"/>
        </w:rPr>
        <w:t xml:space="preserve"> fund future maintenance</w:t>
      </w:r>
      <w:r w:rsidR="009310BE" w:rsidRPr="005A7A48">
        <w:rPr>
          <w:rFonts w:cs="Arial"/>
          <w:szCs w:val="20"/>
        </w:rPr>
        <w:t>,</w:t>
      </w:r>
      <w:r w:rsidR="001C4B70" w:rsidRPr="005A7A48">
        <w:rPr>
          <w:rFonts w:cs="Arial"/>
          <w:szCs w:val="20"/>
        </w:rPr>
        <w:t xml:space="preserve"> or </w:t>
      </w:r>
      <w:r w:rsidR="009310BE" w:rsidRPr="005A7A48">
        <w:rPr>
          <w:rFonts w:cs="Arial"/>
          <w:szCs w:val="20"/>
        </w:rPr>
        <w:t>to fund</w:t>
      </w:r>
      <w:r w:rsidR="006A30A7" w:rsidRPr="005A7A48">
        <w:rPr>
          <w:rFonts w:cs="Arial"/>
          <w:szCs w:val="20"/>
        </w:rPr>
        <w:t xml:space="preserve"> </w:t>
      </w:r>
      <w:r w:rsidR="001C4B70" w:rsidRPr="005A7A48">
        <w:rPr>
          <w:rFonts w:cs="Arial"/>
          <w:szCs w:val="20"/>
        </w:rPr>
        <w:t xml:space="preserve">construction of </w:t>
      </w:r>
      <w:r w:rsidR="009310BE" w:rsidRPr="005A7A48">
        <w:rPr>
          <w:rFonts w:cs="Arial"/>
          <w:szCs w:val="20"/>
        </w:rPr>
        <w:t xml:space="preserve">new </w:t>
      </w:r>
      <w:r w:rsidR="001C4B70" w:rsidRPr="005A7A48">
        <w:rPr>
          <w:rFonts w:cs="Arial"/>
          <w:szCs w:val="20"/>
        </w:rPr>
        <w:t>infrastructure</w:t>
      </w:r>
      <w:r w:rsidRPr="005A7A48">
        <w:rPr>
          <w:rFonts w:cs="Arial"/>
          <w:szCs w:val="20"/>
        </w:rPr>
        <w:t xml:space="preserve">. Often surcharges are used </w:t>
      </w:r>
      <w:r w:rsidR="001A7A21" w:rsidRPr="005A7A48">
        <w:rPr>
          <w:rFonts w:cs="Arial"/>
          <w:szCs w:val="20"/>
        </w:rPr>
        <w:t xml:space="preserve">on </w:t>
      </w:r>
      <w:r w:rsidRPr="005A7A48">
        <w:rPr>
          <w:rFonts w:cs="Arial"/>
          <w:szCs w:val="20"/>
        </w:rPr>
        <w:t>airline tickets to repay debt that</w:t>
      </w:r>
      <w:r w:rsidR="003A19B6" w:rsidRPr="005A7A48">
        <w:rPr>
          <w:rFonts w:cs="Arial"/>
          <w:szCs w:val="20"/>
        </w:rPr>
        <w:t xml:space="preserve"> was issued to build airports. </w:t>
      </w:r>
      <w:r w:rsidRPr="005A7A48">
        <w:rPr>
          <w:rFonts w:cs="Arial"/>
          <w:szCs w:val="20"/>
        </w:rPr>
        <w:t xml:space="preserve">Many state governments in the United States are considering instituting mileage-based user fees which would pay for public roads; </w:t>
      </w:r>
      <w:r w:rsidR="00F4401D" w:rsidRPr="005A7A48">
        <w:rPr>
          <w:rFonts w:cs="Arial"/>
          <w:szCs w:val="20"/>
        </w:rPr>
        <w:t xml:space="preserve">frequently </w:t>
      </w:r>
      <w:r w:rsidRPr="005A7A48">
        <w:rPr>
          <w:rFonts w:cs="Arial"/>
          <w:szCs w:val="20"/>
        </w:rPr>
        <w:t>a portion of income from toll roads goes to pay down debt and finance new infrastructure investments.</w:t>
      </w:r>
      <w:r w:rsidR="00F4401D" w:rsidRPr="005A7A48">
        <w:rPr>
          <w:rStyle w:val="FootnoteReference"/>
          <w:rFonts w:cs="Arial"/>
          <w:szCs w:val="20"/>
        </w:rPr>
        <w:footnoteReference w:id="187"/>
      </w:r>
      <w:r w:rsidRPr="005A7A48">
        <w:rPr>
          <w:rFonts w:cs="Arial"/>
          <w:szCs w:val="20"/>
        </w:rPr>
        <w:t xml:space="preserve"> Toll road projects are usually financed using debt that is backed by future revenues. While </w:t>
      </w:r>
      <w:r w:rsidR="00F4401D" w:rsidRPr="005A7A48">
        <w:rPr>
          <w:rFonts w:cs="Arial"/>
          <w:szCs w:val="20"/>
        </w:rPr>
        <w:t xml:space="preserve">most </w:t>
      </w:r>
      <w:r w:rsidRPr="005A7A48">
        <w:rPr>
          <w:rFonts w:cs="Arial"/>
          <w:szCs w:val="20"/>
        </w:rPr>
        <w:t xml:space="preserve">roads </w:t>
      </w:r>
      <w:r w:rsidR="00F4401D" w:rsidRPr="005A7A48">
        <w:rPr>
          <w:rFonts w:cs="Arial"/>
          <w:szCs w:val="20"/>
        </w:rPr>
        <w:t xml:space="preserve">and highways </w:t>
      </w:r>
      <w:r w:rsidRPr="005A7A48">
        <w:rPr>
          <w:rFonts w:cs="Arial"/>
          <w:szCs w:val="20"/>
        </w:rPr>
        <w:t>are owned by public entities, private participation is becoming more common in major highway projects due to the use of tolls.</w:t>
      </w:r>
    </w:p>
    <w:p w:rsidR="00F4401D" w:rsidRPr="005A7A48" w:rsidRDefault="00F4401D" w:rsidP="005A7A48">
      <w:pPr>
        <w:rPr>
          <w:rFonts w:cs="Arial"/>
          <w:szCs w:val="20"/>
        </w:rPr>
      </w:pPr>
      <w:r w:rsidRPr="005A7A48">
        <w:rPr>
          <w:rFonts w:cs="Arial"/>
          <w:szCs w:val="20"/>
        </w:rPr>
        <w:lastRenderedPageBreak/>
        <w:t>Refueling stations could charge similar fees and include them in the cost of fuel. Once the market is saturated with refueling stations, the ability to recover investment costs through fuel fees will be more limited, but when stations are relatively scarce, they will have more freedom to charge higher fees to pay off their infrastructure investment. This is especially true if many of the stations in a region have a single owner and competition is scarce. Once initial stations are built and consumers begin buying AFVs, higher station utilization will make the alternative fuel market more attractive for new entrants</w:t>
      </w:r>
      <w:r w:rsidR="001A7A21" w:rsidRPr="005A7A48">
        <w:rPr>
          <w:rFonts w:cs="Arial"/>
          <w:szCs w:val="20"/>
        </w:rPr>
        <w:t>;</w:t>
      </w:r>
      <w:r w:rsidRPr="005A7A48">
        <w:rPr>
          <w:rFonts w:cs="Arial"/>
          <w:szCs w:val="20"/>
        </w:rPr>
        <w:t xml:space="preserve"> any infrastructure surcharges built into the fuel price will be reduced to more competitive levels. </w:t>
      </w:r>
    </w:p>
    <w:p w:rsidR="00FC65A3" w:rsidRPr="008720F3" w:rsidRDefault="00FC65A3" w:rsidP="005A7A48">
      <w:pPr>
        <w:pStyle w:val="Heading3"/>
      </w:pPr>
      <w:bookmarkStart w:id="73" w:name="_Toc352854218"/>
      <w:r w:rsidRPr="008720F3">
        <w:t>Green Bonds</w:t>
      </w:r>
      <w:bookmarkEnd w:id="73"/>
    </w:p>
    <w:p w:rsidR="0037255D" w:rsidRPr="005A7A48" w:rsidRDefault="0037255D" w:rsidP="005A7A48">
      <w:pPr>
        <w:rPr>
          <w:rFonts w:cs="Arial"/>
          <w:szCs w:val="20"/>
        </w:rPr>
      </w:pPr>
      <w:r w:rsidRPr="005A7A48">
        <w:rPr>
          <w:rFonts w:cs="Arial"/>
          <w:szCs w:val="20"/>
        </w:rPr>
        <w:t>One innovative way to attract private investors is for companies producing the infrastructure, such as electric charging stations for battery electric vehicles, to offer “green bonds.” These bonds would be issued by the companies in order to raise needed capital for infrastructure investment. The securities could be structured as a convertible bond with a strike price at which the bond value would convert to company stock. In this way, the bond valuation over time can be linked to the company’s success at achieving the infrastructure build</w:t>
      </w:r>
      <w:r w:rsidR="00201DEC" w:rsidRPr="005A7A48">
        <w:rPr>
          <w:rFonts w:cs="Arial"/>
          <w:szCs w:val="20"/>
        </w:rPr>
        <w:t>-</w:t>
      </w:r>
      <w:r w:rsidRPr="005A7A48">
        <w:rPr>
          <w:rFonts w:cs="Arial"/>
          <w:szCs w:val="20"/>
        </w:rPr>
        <w:t>out and in obtaining a stream of income</w:t>
      </w:r>
      <w:r w:rsidR="00E3348C" w:rsidRPr="005A7A48">
        <w:rPr>
          <w:rFonts w:cs="Arial"/>
          <w:szCs w:val="20"/>
        </w:rPr>
        <w:t xml:space="preserve"> for the infrastructure,</w:t>
      </w:r>
      <w:r w:rsidRPr="005A7A48">
        <w:rPr>
          <w:rFonts w:cs="Arial"/>
          <w:szCs w:val="20"/>
        </w:rPr>
        <w:t xml:space="preserve"> </w:t>
      </w:r>
      <w:r w:rsidR="00E3348C" w:rsidRPr="005A7A48">
        <w:rPr>
          <w:rFonts w:cs="Arial"/>
          <w:szCs w:val="20"/>
        </w:rPr>
        <w:t>such as user fees</w:t>
      </w:r>
      <w:r w:rsidRPr="005A7A48">
        <w:rPr>
          <w:rFonts w:cs="Arial"/>
          <w:szCs w:val="20"/>
        </w:rPr>
        <w:t xml:space="preserve">. </w:t>
      </w:r>
    </w:p>
    <w:p w:rsidR="0037255D" w:rsidRPr="005A7A48" w:rsidRDefault="0037255D" w:rsidP="005A7A48">
      <w:pPr>
        <w:rPr>
          <w:rFonts w:cs="Arial"/>
          <w:szCs w:val="20"/>
        </w:rPr>
      </w:pPr>
      <w:r w:rsidRPr="005A7A48">
        <w:rPr>
          <w:rFonts w:cs="Arial"/>
          <w:szCs w:val="20"/>
        </w:rPr>
        <w:t xml:space="preserve">These bonds are called “green” because there may be an added feature, should a carbon credit market become more widespread. </w:t>
      </w:r>
      <w:r w:rsidR="00E3348C" w:rsidRPr="005A7A48">
        <w:rPr>
          <w:rFonts w:cs="Arial"/>
          <w:szCs w:val="20"/>
        </w:rPr>
        <w:t>In the European Union</w:t>
      </w:r>
      <w:r w:rsidRPr="005A7A48">
        <w:rPr>
          <w:rFonts w:cs="Arial"/>
          <w:szCs w:val="20"/>
        </w:rPr>
        <w:t>, a carbon permits system caps the emissions of more than 11,000 power stations, factories and airlines. The emissions from thes</w:t>
      </w:r>
      <w:r w:rsidR="005476EF" w:rsidRPr="005A7A48">
        <w:rPr>
          <w:rFonts w:cs="Arial"/>
          <w:szCs w:val="20"/>
        </w:rPr>
        <w:t>e facilities represent about 40 percent</w:t>
      </w:r>
      <w:r w:rsidRPr="005A7A48">
        <w:rPr>
          <w:rFonts w:cs="Arial"/>
          <w:szCs w:val="20"/>
        </w:rPr>
        <w:t xml:space="preserve"> of EU greenhouse gases.</w:t>
      </w:r>
      <w:r w:rsidRPr="005A7A48">
        <w:rPr>
          <w:rStyle w:val="FootnoteReference"/>
          <w:rFonts w:cs="Arial"/>
          <w:szCs w:val="20"/>
        </w:rPr>
        <w:footnoteReference w:id="188"/>
      </w:r>
      <w:r w:rsidRPr="005A7A48">
        <w:rPr>
          <w:rFonts w:cs="Arial"/>
          <w:szCs w:val="20"/>
        </w:rPr>
        <w:t xml:space="preserve"> However, a global emissions cap and trading scheme would b</w:t>
      </w:r>
      <w:r w:rsidR="00E3348C" w:rsidRPr="005A7A48">
        <w:rPr>
          <w:rFonts w:cs="Arial"/>
          <w:szCs w:val="20"/>
        </w:rPr>
        <w:t>e necessary in order for green</w:t>
      </w:r>
      <w:r w:rsidRPr="005A7A48">
        <w:rPr>
          <w:rFonts w:cs="Arial"/>
          <w:szCs w:val="20"/>
        </w:rPr>
        <w:t xml:space="preserve"> bonds to incorporate the added feature of securing carbon credits for investments in these securities. Since the bond proceeds would be directly earmarked to fund infrastructure for alternative fuel vehicles, a carbon credits entity could evaluate the amount of CO</w:t>
      </w:r>
      <w:r w:rsidRPr="005A7A48">
        <w:rPr>
          <w:rFonts w:cs="Arial"/>
          <w:szCs w:val="20"/>
          <w:vertAlign w:val="subscript"/>
        </w:rPr>
        <w:t>2</w:t>
      </w:r>
      <w:r w:rsidRPr="005A7A48">
        <w:rPr>
          <w:rFonts w:cs="Arial"/>
          <w:szCs w:val="20"/>
        </w:rPr>
        <w:t xml:space="preserve"> reduction associated with the replacement rate from higher CO</w:t>
      </w:r>
      <w:r w:rsidRPr="005A7A48">
        <w:rPr>
          <w:rFonts w:cs="Arial"/>
          <w:szCs w:val="20"/>
          <w:vertAlign w:val="subscript"/>
        </w:rPr>
        <w:t>2</w:t>
      </w:r>
      <w:r w:rsidRPr="005A7A48">
        <w:rPr>
          <w:rFonts w:cs="Arial"/>
          <w:szCs w:val="20"/>
        </w:rPr>
        <w:t xml:space="preserve"> emitting fueling infrastructure to lower ones. While this would be an indirect benefit to the infrastructure investment, such a scheme could provide some benefit to investors which would not detract from credits earned by companies producing and selling the alternative fuel vehicles.</w:t>
      </w:r>
    </w:p>
    <w:p w:rsidR="0037255D" w:rsidRPr="005A7A48" w:rsidRDefault="0037255D" w:rsidP="005A7A48">
      <w:pPr>
        <w:rPr>
          <w:rFonts w:cs="Arial"/>
          <w:szCs w:val="20"/>
        </w:rPr>
      </w:pPr>
      <w:r w:rsidRPr="005A7A48">
        <w:rPr>
          <w:rFonts w:cs="Arial"/>
          <w:szCs w:val="20"/>
        </w:rPr>
        <w:t>Such a market for CO</w:t>
      </w:r>
      <w:r w:rsidRPr="005A7A48">
        <w:rPr>
          <w:rFonts w:cs="Arial"/>
          <w:szCs w:val="20"/>
          <w:vertAlign w:val="subscript"/>
        </w:rPr>
        <w:t>2</w:t>
      </w:r>
      <w:r w:rsidRPr="005A7A48">
        <w:rPr>
          <w:rFonts w:cs="Arial"/>
          <w:szCs w:val="20"/>
        </w:rPr>
        <w:t xml:space="preserve"> credits has encountered limited success to date. </w:t>
      </w:r>
      <w:r w:rsidR="00803860" w:rsidRPr="005A7A48">
        <w:rPr>
          <w:rFonts w:cs="Arial"/>
          <w:szCs w:val="20"/>
        </w:rPr>
        <w:t>EU carbon emissions futures</w:t>
      </w:r>
      <w:r w:rsidRPr="005A7A48">
        <w:rPr>
          <w:rFonts w:cs="Arial"/>
          <w:szCs w:val="20"/>
        </w:rPr>
        <w:t xml:space="preserve"> </w:t>
      </w:r>
      <w:r w:rsidR="00803860" w:rsidRPr="005A7A48">
        <w:rPr>
          <w:rFonts w:cs="Arial"/>
          <w:szCs w:val="20"/>
        </w:rPr>
        <w:t>are</w:t>
      </w:r>
      <w:r w:rsidR="00445D2D" w:rsidRPr="005A7A48">
        <w:rPr>
          <w:rFonts w:cs="Arial"/>
          <w:szCs w:val="20"/>
        </w:rPr>
        <w:t xml:space="preserve"> presently trading at </w:t>
      </w:r>
      <w:r w:rsidR="00803860" w:rsidRPr="005A7A48">
        <w:rPr>
          <w:rFonts w:cs="Arial"/>
          <w:szCs w:val="20"/>
        </w:rPr>
        <w:t xml:space="preserve">between </w:t>
      </w:r>
      <w:r w:rsidR="00445D2D" w:rsidRPr="005A7A48">
        <w:rPr>
          <w:rFonts w:cs="Arial"/>
          <w:szCs w:val="20"/>
        </w:rPr>
        <w:t>€</w:t>
      </w:r>
      <w:r w:rsidR="00803860" w:rsidRPr="005A7A48">
        <w:rPr>
          <w:rFonts w:cs="Arial"/>
          <w:szCs w:val="20"/>
        </w:rPr>
        <w:t>3.5</w:t>
      </w:r>
      <w:r w:rsidRPr="005A7A48">
        <w:rPr>
          <w:rFonts w:cs="Arial"/>
          <w:szCs w:val="20"/>
        </w:rPr>
        <w:t>0</w:t>
      </w:r>
      <w:r w:rsidR="00803860" w:rsidRPr="005A7A48">
        <w:rPr>
          <w:rFonts w:cs="Arial"/>
          <w:szCs w:val="20"/>
        </w:rPr>
        <w:t>-4.00</w:t>
      </w:r>
      <w:r w:rsidRPr="005A7A48">
        <w:rPr>
          <w:rFonts w:cs="Arial"/>
          <w:szCs w:val="20"/>
        </w:rPr>
        <w:t xml:space="preserve"> per metric ton. This is a</w:t>
      </w:r>
      <w:r w:rsidR="00445D2D" w:rsidRPr="005A7A48">
        <w:rPr>
          <w:rFonts w:cs="Arial"/>
          <w:szCs w:val="20"/>
        </w:rPr>
        <w:t xml:space="preserve"> very low price, down nearly 60 percent in the last four months</w:t>
      </w:r>
      <w:r w:rsidRPr="005A7A48">
        <w:rPr>
          <w:rFonts w:cs="Arial"/>
          <w:szCs w:val="20"/>
        </w:rPr>
        <w:t>.</w:t>
      </w:r>
      <w:r w:rsidR="00445D2D" w:rsidRPr="005A7A48">
        <w:rPr>
          <w:rStyle w:val="FootnoteReference"/>
          <w:rFonts w:cs="Arial"/>
          <w:szCs w:val="20"/>
        </w:rPr>
        <w:footnoteReference w:id="189"/>
      </w:r>
      <w:r w:rsidRPr="005A7A48">
        <w:rPr>
          <w:rFonts w:cs="Arial"/>
          <w:szCs w:val="20"/>
        </w:rPr>
        <w:t xml:space="preserve"> Even so, there is a case to be made for green bonds which could generate more unconventional financing mechanisms to support fueling infrastructure for alternative fuel vehicles, includ</w:t>
      </w:r>
      <w:r w:rsidR="00445D2D" w:rsidRPr="005A7A48">
        <w:rPr>
          <w:rFonts w:cs="Arial"/>
          <w:szCs w:val="20"/>
        </w:rPr>
        <w:t>ing dedicated infrastructure exchange-traded fund</w:t>
      </w:r>
      <w:r w:rsidRPr="005A7A48">
        <w:rPr>
          <w:rFonts w:cs="Arial"/>
          <w:szCs w:val="20"/>
        </w:rPr>
        <w:t>s. At this juncture, this financing concept is in its infant stage</w:t>
      </w:r>
      <w:r w:rsidR="004D44B1" w:rsidRPr="005A7A48">
        <w:rPr>
          <w:rFonts w:cs="Arial"/>
          <w:szCs w:val="20"/>
        </w:rPr>
        <w:t>,</w:t>
      </w:r>
      <w:r w:rsidRPr="005A7A48">
        <w:rPr>
          <w:rFonts w:cs="Arial"/>
          <w:szCs w:val="20"/>
        </w:rPr>
        <w:t xml:space="preserve"> but could grow quickly should there be widespread consumer choice toward alternative fuel vehicles.</w:t>
      </w:r>
    </w:p>
    <w:p w:rsidR="00120EEE" w:rsidRPr="008720F3" w:rsidRDefault="00120EEE" w:rsidP="005A7A48">
      <w:pPr>
        <w:pStyle w:val="Heading2"/>
      </w:pPr>
      <w:bookmarkStart w:id="74" w:name="_Toc352854219"/>
      <w:r w:rsidRPr="008720F3">
        <w:t>Funding the Infrastructure of the Future</w:t>
      </w:r>
      <w:bookmarkEnd w:id="74"/>
    </w:p>
    <w:p w:rsidR="00120EEE" w:rsidRPr="005A7A48" w:rsidRDefault="00192583" w:rsidP="005A7A48">
      <w:pPr>
        <w:rPr>
          <w:rFonts w:cs="Arial"/>
          <w:szCs w:val="24"/>
        </w:rPr>
      </w:pPr>
      <w:r w:rsidRPr="005A7A48">
        <w:rPr>
          <w:rFonts w:cs="Arial"/>
          <w:szCs w:val="24"/>
        </w:rPr>
        <w:t>This paper discusses</w:t>
      </w:r>
      <w:r w:rsidR="00120EEE" w:rsidRPr="005A7A48">
        <w:rPr>
          <w:rFonts w:cs="Arial"/>
          <w:szCs w:val="24"/>
        </w:rPr>
        <w:t xml:space="preserve"> several different examples of financing mechanisms that could be used to generate the funding needed to construct the necessary infrastructure. Public support for AFV infrastructure </w:t>
      </w:r>
      <w:r w:rsidR="00120EEE" w:rsidRPr="005A7A48">
        <w:rPr>
          <w:rFonts w:cs="Arial"/>
          <w:szCs w:val="24"/>
        </w:rPr>
        <w:lastRenderedPageBreak/>
        <w:t>could involve the use of mechanisms (e.g., grants, bonds, and subsidies as well as regulatory policies) that require investment or support the adoption of AFVs. Infrastructure development banks such as the EIB in Europe, the BNDES in Brazil, or a potential bank in the United States could provide low-cost capital to AFV infrastructure projects that are in line with development goals. Such banks can leverage private investment and make decisions based on expected benefits rather than political considerations. Public-private partnerships can offer many of the benefits of public and/or private financing while overcoming some of their limitations. Traditional private financing models will also be important, especially in later stages of AFV infrastructure development when AFVs are more established and investment is less risky. In addition, more innovative private financing methods, such as the green bond idea, could play a role in financing AFV infrastructure.</w:t>
      </w:r>
    </w:p>
    <w:p w:rsidR="001C5A67" w:rsidRPr="005A7A48" w:rsidRDefault="00120EEE" w:rsidP="005A7A48">
      <w:pPr>
        <w:rPr>
          <w:rFonts w:cs="Arial"/>
          <w:b/>
          <w:szCs w:val="24"/>
        </w:rPr>
      </w:pPr>
      <w:r w:rsidRPr="005A7A48">
        <w:rPr>
          <w:rFonts w:cs="Arial"/>
          <w:szCs w:val="24"/>
        </w:rPr>
        <w:t xml:space="preserve">Brazil’s development of a biofuels industry offers many lessons on the power of regulations and investments financed by large development banks. Places like China or California may be able to create demand for AFVs and force fuel providers to offer alternative fuels using top-down regulations like those used by Brazil to create an ethanol-powered transportation system. In Europe and the rest of the United States, it may be more difficult to achieve high AFV penetrations and encourage development of infrastructure, but infrastructure banks and PPPs can help reduce project risk and attract private investors, facilitating the AFV infrastructure build-out. </w:t>
      </w:r>
      <w:r w:rsidR="001C5A67" w:rsidRPr="005A7A48">
        <w:rPr>
          <w:rFonts w:cs="Arial"/>
          <w:b/>
          <w:szCs w:val="24"/>
        </w:rPr>
        <w:br w:type="page"/>
      </w:r>
    </w:p>
    <w:p w:rsidR="001C5A67" w:rsidRPr="008720F3" w:rsidRDefault="001C5A67" w:rsidP="005A7A48">
      <w:pPr>
        <w:pStyle w:val="Heading1"/>
      </w:pPr>
      <w:bookmarkStart w:id="75" w:name="_Toc352854220"/>
      <w:r w:rsidRPr="008720F3">
        <w:lastRenderedPageBreak/>
        <w:t>Conclusions</w:t>
      </w:r>
      <w:bookmarkEnd w:id="75"/>
    </w:p>
    <w:p w:rsidR="0008106C" w:rsidRPr="005A7A48" w:rsidRDefault="0008106C" w:rsidP="005A7A48">
      <w:pPr>
        <w:rPr>
          <w:rFonts w:cs="Arial"/>
          <w:szCs w:val="24"/>
        </w:rPr>
      </w:pPr>
      <w:r w:rsidRPr="005A7A48">
        <w:rPr>
          <w:rFonts w:cs="Arial"/>
          <w:szCs w:val="24"/>
        </w:rPr>
        <w:t xml:space="preserve">Countries around the world have implemented </w:t>
      </w:r>
      <w:r w:rsidR="00BB08B1" w:rsidRPr="005A7A48">
        <w:rPr>
          <w:rFonts w:cs="Arial"/>
          <w:szCs w:val="24"/>
        </w:rPr>
        <w:t xml:space="preserve">vehicle </w:t>
      </w:r>
      <w:r w:rsidRPr="005A7A48">
        <w:rPr>
          <w:rFonts w:cs="Arial"/>
          <w:szCs w:val="24"/>
        </w:rPr>
        <w:t>regulations</w:t>
      </w:r>
      <w:r w:rsidR="009310BE" w:rsidRPr="005A7A48">
        <w:rPr>
          <w:rFonts w:cs="Arial"/>
          <w:szCs w:val="24"/>
        </w:rPr>
        <w:t xml:space="preserve"> to</w:t>
      </w:r>
      <w:r w:rsidRPr="005A7A48">
        <w:rPr>
          <w:rFonts w:cs="Arial"/>
          <w:szCs w:val="24"/>
        </w:rPr>
        <w:t xml:space="preserve"> </w:t>
      </w:r>
      <w:r w:rsidR="00BB08B1" w:rsidRPr="005A7A48">
        <w:rPr>
          <w:rFonts w:cs="Arial"/>
          <w:szCs w:val="24"/>
        </w:rPr>
        <w:t>improv</w:t>
      </w:r>
      <w:r w:rsidRPr="005A7A48">
        <w:rPr>
          <w:rFonts w:cs="Arial"/>
          <w:szCs w:val="24"/>
        </w:rPr>
        <w:t xml:space="preserve">e </w:t>
      </w:r>
      <w:r w:rsidR="009310BE" w:rsidRPr="005A7A48">
        <w:rPr>
          <w:rFonts w:cs="Arial"/>
          <w:szCs w:val="24"/>
        </w:rPr>
        <w:t xml:space="preserve">vehicle </w:t>
      </w:r>
      <w:r w:rsidRPr="005A7A48">
        <w:rPr>
          <w:rFonts w:cs="Arial"/>
          <w:szCs w:val="24"/>
        </w:rPr>
        <w:t>fuel economy and reduc</w:t>
      </w:r>
      <w:r w:rsidR="00BB08B1" w:rsidRPr="005A7A48">
        <w:rPr>
          <w:rFonts w:cs="Arial"/>
          <w:szCs w:val="24"/>
        </w:rPr>
        <w:t>e</w:t>
      </w:r>
      <w:r w:rsidRPr="005A7A48">
        <w:rPr>
          <w:rFonts w:cs="Arial"/>
          <w:szCs w:val="24"/>
        </w:rPr>
        <w:t xml:space="preserve"> </w:t>
      </w:r>
      <w:r w:rsidR="00BB08B1" w:rsidRPr="005A7A48">
        <w:rPr>
          <w:rFonts w:cs="Arial"/>
          <w:szCs w:val="24"/>
        </w:rPr>
        <w:t>GHG</w:t>
      </w:r>
      <w:r w:rsidRPr="005A7A48">
        <w:rPr>
          <w:rFonts w:cs="Arial"/>
          <w:szCs w:val="24"/>
        </w:rPr>
        <w:t xml:space="preserve"> emissions from vehicles</w:t>
      </w:r>
      <w:r w:rsidR="00BB08B1" w:rsidRPr="005A7A48">
        <w:rPr>
          <w:rFonts w:cs="Arial"/>
          <w:szCs w:val="24"/>
        </w:rPr>
        <w:t>. Many have also created incentive programs to encourage the adoption of AFVs</w:t>
      </w:r>
      <w:r w:rsidR="004D44B1" w:rsidRPr="005A7A48">
        <w:rPr>
          <w:rFonts w:cs="Arial"/>
          <w:szCs w:val="24"/>
        </w:rPr>
        <w:t>,</w:t>
      </w:r>
      <w:r w:rsidR="00BB08B1" w:rsidRPr="005A7A48">
        <w:rPr>
          <w:rFonts w:cs="Arial"/>
          <w:szCs w:val="24"/>
        </w:rPr>
        <w:t xml:space="preserve"> and a</w:t>
      </w:r>
      <w:r w:rsidRPr="005A7A48">
        <w:rPr>
          <w:rFonts w:cs="Arial"/>
          <w:szCs w:val="24"/>
        </w:rPr>
        <w:t>utomakers have already started making investments in developing, manufacturing, and selling AFVs.</w:t>
      </w:r>
      <w:r w:rsidR="00BB08B1" w:rsidRPr="005A7A48">
        <w:rPr>
          <w:rFonts w:cs="Arial"/>
          <w:szCs w:val="24"/>
        </w:rPr>
        <w:t xml:space="preserve"> Despite all of this support, AFVs face many challenges to adoption.</w:t>
      </w:r>
    </w:p>
    <w:p w:rsidR="001C5A67" w:rsidRPr="005A7A48" w:rsidRDefault="00BB08B1" w:rsidP="005A7A48">
      <w:pPr>
        <w:rPr>
          <w:rFonts w:cs="Arial"/>
          <w:szCs w:val="24"/>
        </w:rPr>
      </w:pPr>
      <w:r w:rsidRPr="005A7A48">
        <w:rPr>
          <w:rFonts w:cs="Arial"/>
          <w:szCs w:val="24"/>
        </w:rPr>
        <w:t xml:space="preserve">One of the greatest challenges is the chicken-and-egg issue of concurrently developing AFVs and alternative fueling infrastructure. Because the cost of installing new refueling infrastructure is high and the adoption of AFVs is uncertain, private investment </w:t>
      </w:r>
      <w:r w:rsidR="004D44B1" w:rsidRPr="005A7A48">
        <w:rPr>
          <w:rFonts w:cs="Arial"/>
          <w:szCs w:val="24"/>
        </w:rPr>
        <w:t xml:space="preserve">is </w:t>
      </w:r>
      <w:r w:rsidRPr="005A7A48">
        <w:rPr>
          <w:rFonts w:cs="Arial"/>
          <w:szCs w:val="24"/>
        </w:rPr>
        <w:t>risky and relatively unattractive. In addition, current political and economic realities could make securing public fundin</w:t>
      </w:r>
      <w:r w:rsidR="00835369" w:rsidRPr="005A7A48">
        <w:rPr>
          <w:rFonts w:cs="Arial"/>
          <w:szCs w:val="24"/>
        </w:rPr>
        <w:t xml:space="preserve">g </w:t>
      </w:r>
      <w:r w:rsidRPr="005A7A48">
        <w:rPr>
          <w:rFonts w:cs="Arial"/>
          <w:szCs w:val="24"/>
        </w:rPr>
        <w:t xml:space="preserve">challenging. </w:t>
      </w:r>
    </w:p>
    <w:p w:rsidR="00BD1F0F" w:rsidRPr="005A7A48" w:rsidRDefault="00BD1F0F" w:rsidP="005A7A48">
      <w:pPr>
        <w:rPr>
          <w:rFonts w:cs="Arial"/>
          <w:szCs w:val="24"/>
        </w:rPr>
      </w:pPr>
      <w:r w:rsidRPr="005A7A48">
        <w:rPr>
          <w:rFonts w:cs="Arial"/>
          <w:szCs w:val="24"/>
        </w:rPr>
        <w:t xml:space="preserve">There will be significant </w:t>
      </w:r>
      <w:r w:rsidR="001C5A67" w:rsidRPr="005A7A48">
        <w:rPr>
          <w:rFonts w:cs="Arial"/>
          <w:szCs w:val="24"/>
        </w:rPr>
        <w:t xml:space="preserve">changes in mobility in </w:t>
      </w:r>
      <w:r w:rsidR="004D44B1" w:rsidRPr="005A7A48">
        <w:rPr>
          <w:rFonts w:cs="Arial"/>
          <w:szCs w:val="24"/>
        </w:rPr>
        <w:t xml:space="preserve">the </w:t>
      </w:r>
      <w:r w:rsidR="001C5A67" w:rsidRPr="005A7A48">
        <w:rPr>
          <w:rFonts w:cs="Arial"/>
          <w:szCs w:val="24"/>
        </w:rPr>
        <w:t xml:space="preserve">coming </w:t>
      </w:r>
      <w:r w:rsidRPr="005A7A48">
        <w:rPr>
          <w:rFonts w:cs="Arial"/>
          <w:szCs w:val="24"/>
        </w:rPr>
        <w:t xml:space="preserve">decades. </w:t>
      </w:r>
      <w:r w:rsidR="004D44B1" w:rsidRPr="005A7A48">
        <w:rPr>
          <w:rFonts w:cs="Arial"/>
          <w:szCs w:val="24"/>
        </w:rPr>
        <w:t>B</w:t>
      </w:r>
      <w:r w:rsidR="009310BE" w:rsidRPr="005A7A48">
        <w:rPr>
          <w:rFonts w:cs="Arial"/>
          <w:szCs w:val="24"/>
        </w:rPr>
        <w:t xml:space="preserve">illions of dollars have already been </w:t>
      </w:r>
      <w:r w:rsidRPr="005A7A48">
        <w:rPr>
          <w:rFonts w:cs="Arial"/>
          <w:szCs w:val="24"/>
        </w:rPr>
        <w:t>spent creating fueling stations for AFVs</w:t>
      </w:r>
      <w:r w:rsidR="00E3348C" w:rsidRPr="005A7A48">
        <w:rPr>
          <w:rFonts w:cs="Arial"/>
          <w:szCs w:val="24"/>
        </w:rPr>
        <w:t xml:space="preserve"> around the wor</w:t>
      </w:r>
      <w:r w:rsidRPr="005A7A48">
        <w:rPr>
          <w:rFonts w:cs="Arial"/>
          <w:szCs w:val="24"/>
        </w:rPr>
        <w:t xml:space="preserve">ld. If the forecasts and trends used in this research are accurate, </w:t>
      </w:r>
      <w:r w:rsidR="00120EEE" w:rsidRPr="005A7A48">
        <w:rPr>
          <w:rFonts w:cs="Arial"/>
          <w:szCs w:val="24"/>
        </w:rPr>
        <w:t>$</w:t>
      </w:r>
      <w:r w:rsidRPr="005A7A48">
        <w:rPr>
          <w:rFonts w:cs="Arial"/>
          <w:szCs w:val="24"/>
        </w:rPr>
        <w:t>86.6 billion in additional AFV fuel infrastructure investment will be required in Europe, the United States, and China</w:t>
      </w:r>
      <w:r w:rsidR="00E3348C" w:rsidRPr="005A7A48">
        <w:rPr>
          <w:rFonts w:cs="Arial"/>
          <w:szCs w:val="24"/>
        </w:rPr>
        <w:t xml:space="preserve"> by 2030</w:t>
      </w:r>
      <w:r w:rsidRPr="005A7A48">
        <w:rPr>
          <w:rFonts w:cs="Arial"/>
          <w:szCs w:val="24"/>
        </w:rPr>
        <w:t xml:space="preserve">. </w:t>
      </w:r>
      <w:r w:rsidR="00E3348C" w:rsidRPr="005A7A48">
        <w:rPr>
          <w:rFonts w:cs="Arial"/>
          <w:szCs w:val="24"/>
        </w:rPr>
        <w:t xml:space="preserve">Specifically for the countries examined in this paper, Europe will need to invest an additional $38.5 billion, China will need to invest an additional </w:t>
      </w:r>
      <w:r w:rsidR="004D44B1" w:rsidRPr="005A7A48">
        <w:rPr>
          <w:rFonts w:cs="Arial"/>
          <w:szCs w:val="24"/>
        </w:rPr>
        <w:t>$</w:t>
      </w:r>
      <w:r w:rsidR="00E3348C" w:rsidRPr="005A7A48">
        <w:rPr>
          <w:rFonts w:cs="Arial"/>
          <w:szCs w:val="24"/>
        </w:rPr>
        <w:t xml:space="preserve">31.6 billion, and the United States will need to invest an additional </w:t>
      </w:r>
      <w:r w:rsidR="004D44B1" w:rsidRPr="005A7A48">
        <w:rPr>
          <w:rFonts w:cs="Arial"/>
          <w:szCs w:val="24"/>
        </w:rPr>
        <w:t>$</w:t>
      </w:r>
      <w:r w:rsidR="00E3348C" w:rsidRPr="005A7A48">
        <w:rPr>
          <w:rFonts w:cs="Arial"/>
          <w:szCs w:val="24"/>
        </w:rPr>
        <w:t xml:space="preserve">16.5 billion. </w:t>
      </w:r>
      <w:r w:rsidRPr="005A7A48">
        <w:rPr>
          <w:rFonts w:cs="Arial"/>
          <w:szCs w:val="24"/>
        </w:rPr>
        <w:t>If AFVs are more successful than expected, the required infrastructure i</w:t>
      </w:r>
      <w:r w:rsidR="0062326F" w:rsidRPr="005A7A48">
        <w:rPr>
          <w:rFonts w:cs="Arial"/>
          <w:szCs w:val="24"/>
        </w:rPr>
        <w:t>nvestment could be much</w:t>
      </w:r>
      <w:r w:rsidRPr="005A7A48">
        <w:rPr>
          <w:rFonts w:cs="Arial"/>
          <w:szCs w:val="24"/>
        </w:rPr>
        <w:t xml:space="preserve"> higher.</w:t>
      </w:r>
    </w:p>
    <w:p w:rsidR="002241F4" w:rsidRPr="005A7A48" w:rsidRDefault="00CB39CE" w:rsidP="005A7A48">
      <w:pPr>
        <w:rPr>
          <w:rFonts w:cs="Arial"/>
          <w:szCs w:val="24"/>
        </w:rPr>
      </w:pPr>
      <w:r w:rsidRPr="005A7A48">
        <w:rPr>
          <w:rFonts w:cs="Arial"/>
          <w:szCs w:val="24"/>
        </w:rPr>
        <w:t>While this paper used forecasts and trends to come up with one scenario of possible AFV penetration by 2030, the actual number of vehicles in operation</w:t>
      </w:r>
      <w:r w:rsidR="0062326F" w:rsidRPr="005A7A48">
        <w:rPr>
          <w:rFonts w:cs="Arial"/>
          <w:szCs w:val="24"/>
        </w:rPr>
        <w:t xml:space="preserve"> could vary significantly depending on costs, government policies, and many other factors. In addition, certain factors may not </w:t>
      </w:r>
      <w:r w:rsidR="004D44B1" w:rsidRPr="005A7A48">
        <w:rPr>
          <w:rFonts w:cs="Arial"/>
          <w:szCs w:val="24"/>
        </w:rPr>
        <w:t xml:space="preserve">have </w:t>
      </w:r>
      <w:r w:rsidR="0062326F" w:rsidRPr="005A7A48">
        <w:rPr>
          <w:rFonts w:cs="Arial"/>
          <w:szCs w:val="24"/>
        </w:rPr>
        <w:t>be</w:t>
      </w:r>
      <w:r w:rsidR="004D44B1" w:rsidRPr="005A7A48">
        <w:rPr>
          <w:rFonts w:cs="Arial"/>
          <w:szCs w:val="24"/>
        </w:rPr>
        <w:t>en</w:t>
      </w:r>
      <w:r w:rsidR="0062326F" w:rsidRPr="005A7A48">
        <w:rPr>
          <w:rFonts w:cs="Arial"/>
          <w:szCs w:val="24"/>
        </w:rPr>
        <w:t xml:space="preserve"> taken into account when generating forecasts. For example, while CNG vehicle sales in the United States increased from around 5,000 to 20,000 in the past few years due to the current low fuel costs brought about by fracking, the forecast for CNG vehicle sales only reaches 40,000 by 2019, resulting in a relatively low trajectory for CNG vehicle adoption in the United States. Even if CNG veh</w:t>
      </w:r>
      <w:r w:rsidR="002241F4" w:rsidRPr="005A7A48">
        <w:rPr>
          <w:rFonts w:cs="Arial"/>
          <w:szCs w:val="24"/>
        </w:rPr>
        <w:t>icles are adopted only by fleet owners</w:t>
      </w:r>
      <w:r w:rsidR="0062326F" w:rsidRPr="005A7A48">
        <w:rPr>
          <w:rFonts w:cs="Arial"/>
          <w:szCs w:val="24"/>
        </w:rPr>
        <w:t xml:space="preserve"> with private, centralized refueling infrastructure, </w:t>
      </w:r>
      <w:r w:rsidR="002241F4" w:rsidRPr="005A7A48">
        <w:rPr>
          <w:rFonts w:cs="Arial"/>
          <w:szCs w:val="24"/>
        </w:rPr>
        <w:t xml:space="preserve">improvements in CNG vehicles coupled with a plentiful supply of low-cost fuel could result in a trajectory for U.S. CNG sales that is </w:t>
      </w:r>
      <w:r w:rsidR="007278E0" w:rsidRPr="005A7A48">
        <w:rPr>
          <w:rFonts w:cs="Arial"/>
          <w:szCs w:val="24"/>
        </w:rPr>
        <w:t>much</w:t>
      </w:r>
      <w:r w:rsidR="002241F4" w:rsidRPr="005A7A48">
        <w:rPr>
          <w:rFonts w:cs="Arial"/>
          <w:szCs w:val="24"/>
        </w:rPr>
        <w:t xml:space="preserve"> higher than the one used in this paper.</w:t>
      </w:r>
    </w:p>
    <w:p w:rsidR="00920CF5" w:rsidRPr="005A7A48" w:rsidRDefault="002241F4" w:rsidP="005A7A48">
      <w:pPr>
        <w:rPr>
          <w:rFonts w:cs="Arial"/>
          <w:szCs w:val="24"/>
        </w:rPr>
      </w:pPr>
      <w:r w:rsidRPr="005A7A48">
        <w:rPr>
          <w:rFonts w:cs="Arial"/>
          <w:szCs w:val="24"/>
        </w:rPr>
        <w:t xml:space="preserve">While the majority of </w:t>
      </w:r>
      <w:r w:rsidR="004D44B1" w:rsidRPr="005A7A48">
        <w:rPr>
          <w:rFonts w:cs="Arial"/>
          <w:szCs w:val="24"/>
        </w:rPr>
        <w:t xml:space="preserve">the </w:t>
      </w:r>
      <w:r w:rsidRPr="005A7A48">
        <w:rPr>
          <w:rFonts w:cs="Arial"/>
          <w:szCs w:val="24"/>
        </w:rPr>
        <w:t xml:space="preserve">world’s vehicles may still be reliant on petroleum-based fuels by 2030, even </w:t>
      </w:r>
      <w:r w:rsidR="004D44B1" w:rsidRPr="005A7A48">
        <w:rPr>
          <w:rFonts w:cs="Arial"/>
          <w:szCs w:val="24"/>
        </w:rPr>
        <w:t xml:space="preserve">a </w:t>
      </w:r>
      <w:r w:rsidRPr="005A7A48">
        <w:rPr>
          <w:rFonts w:cs="Arial"/>
          <w:szCs w:val="24"/>
        </w:rPr>
        <w:t xml:space="preserve">small AFV market share will require the support of expensive fuel infrastructure. </w:t>
      </w:r>
      <w:r w:rsidR="0006637B" w:rsidRPr="005A7A48">
        <w:rPr>
          <w:rFonts w:cs="Arial"/>
          <w:szCs w:val="24"/>
        </w:rPr>
        <w:t>As</w:t>
      </w:r>
      <w:r w:rsidRPr="005A7A48">
        <w:rPr>
          <w:rFonts w:cs="Arial"/>
          <w:szCs w:val="24"/>
        </w:rPr>
        <w:t xml:space="preserve"> the cost of new refueling stations will be in the tens of billions of dollars for the three regions examined, </w:t>
      </w:r>
      <w:r w:rsidR="004D44B1" w:rsidRPr="005A7A48">
        <w:rPr>
          <w:rFonts w:cs="Arial"/>
          <w:szCs w:val="24"/>
        </w:rPr>
        <w:t>t</w:t>
      </w:r>
      <w:r w:rsidRPr="005A7A48">
        <w:rPr>
          <w:rFonts w:cs="Arial"/>
          <w:szCs w:val="24"/>
        </w:rPr>
        <w:t>here will be ample room for many different financing models t</w:t>
      </w:r>
      <w:r w:rsidR="00920CF5" w:rsidRPr="005A7A48">
        <w:rPr>
          <w:rFonts w:cs="Arial"/>
          <w:szCs w:val="24"/>
        </w:rPr>
        <w:t>o provide funding for these projects.</w:t>
      </w:r>
    </w:p>
    <w:p w:rsidR="00120EEE" w:rsidRPr="005A7A48" w:rsidRDefault="009329A6" w:rsidP="005A7A48">
      <w:pPr>
        <w:rPr>
          <w:rFonts w:cs="Arial"/>
          <w:szCs w:val="24"/>
        </w:rPr>
      </w:pPr>
      <w:r w:rsidRPr="005A7A48">
        <w:rPr>
          <w:rFonts w:cs="Arial"/>
          <w:szCs w:val="24"/>
        </w:rPr>
        <w:t xml:space="preserve">All of the methods discussed in this paper could potentially be used to finance infrastructure. </w:t>
      </w:r>
      <w:r w:rsidR="00120EEE" w:rsidRPr="005A7A48">
        <w:rPr>
          <w:rFonts w:cs="Arial"/>
          <w:szCs w:val="24"/>
        </w:rPr>
        <w:t>The type of government and existing institutions will be big determinants as to whether AFV infrastructure in a particular country will be financed through public or private mechanisms.</w:t>
      </w:r>
      <w:r w:rsidRPr="005A7A48">
        <w:rPr>
          <w:rFonts w:cs="Arial"/>
          <w:szCs w:val="24"/>
        </w:rPr>
        <w:t xml:space="preserve"> Another major determinant of which financing methods would be most appropriate is the rate of AFV adoption. In markets with low levels of AFV sales, public financing will typically be required to create AFV infrastructure, and in mature markets with a high penetration of AFVs, private capital will be available to invest in the infrastructure needed to meet consumer demands. In midrange scenarios where some AFVs are already on the roads, </w:t>
      </w:r>
      <w:r w:rsidRPr="005A7A48">
        <w:rPr>
          <w:rFonts w:cs="Arial"/>
          <w:szCs w:val="24"/>
        </w:rPr>
        <w:lastRenderedPageBreak/>
        <w:t xml:space="preserve">but not enough to encourage private investment, public-private partnerships and infrastructure banks will be useful to provide the support infrastructure needed to maintain AFV sales and help the market reach maturity. </w:t>
      </w:r>
    </w:p>
    <w:p w:rsidR="001C5A67" w:rsidRPr="008720F3" w:rsidRDefault="001C5A67">
      <w:pPr>
        <w:rPr>
          <w:rFonts w:cs="Arial"/>
          <w:sz w:val="24"/>
          <w:szCs w:val="24"/>
        </w:rPr>
      </w:pPr>
      <w:r w:rsidRPr="008720F3">
        <w:rPr>
          <w:rFonts w:cs="Arial"/>
          <w:b/>
          <w:sz w:val="24"/>
          <w:szCs w:val="24"/>
        </w:rPr>
        <w:br w:type="page"/>
      </w:r>
    </w:p>
    <w:p w:rsidR="00764DD6" w:rsidRPr="008720F3" w:rsidRDefault="00764DD6" w:rsidP="005A7A48">
      <w:pPr>
        <w:pStyle w:val="Heading1"/>
      </w:pPr>
      <w:bookmarkStart w:id="76" w:name="_Toc352854221"/>
      <w:r w:rsidRPr="008720F3">
        <w:lastRenderedPageBreak/>
        <w:t>REFERENCES</w:t>
      </w:r>
      <w:bookmarkEnd w:id="76"/>
    </w:p>
    <w:p w:rsidR="002628DC" w:rsidRPr="005A7A48" w:rsidRDefault="002628DC" w:rsidP="00424E17">
      <w:pPr>
        <w:pStyle w:val="FootnoteText"/>
        <w:spacing w:after="240" w:line="276" w:lineRule="auto"/>
        <w:ind w:left="720" w:hanging="720"/>
        <w:rPr>
          <w:rFonts w:cs="Arial"/>
          <w:sz w:val="22"/>
          <w:szCs w:val="22"/>
        </w:rPr>
      </w:pPr>
      <w:r w:rsidRPr="005A7A48">
        <w:rPr>
          <w:rFonts w:cs="Arial"/>
          <w:sz w:val="22"/>
          <w:szCs w:val="22"/>
        </w:rPr>
        <w:t>ACEA. “The Automobile Industry Pocket Guide: 2012.” European Automobile Manufacturers Association. September 18, 2012. &lt;http://www.acea.be/images/uploads/files/ACEA_POCKET_GUIDE_2012_UPDATED.pdf&gt;.</w:t>
      </w:r>
    </w:p>
    <w:p w:rsidR="00424E17" w:rsidRPr="005A7A48" w:rsidRDefault="00424E17" w:rsidP="00424E17">
      <w:pPr>
        <w:pStyle w:val="FootnoteText"/>
        <w:spacing w:after="240" w:line="276" w:lineRule="auto"/>
        <w:ind w:left="720" w:hanging="720"/>
        <w:rPr>
          <w:rFonts w:cs="Arial"/>
          <w:sz w:val="22"/>
          <w:szCs w:val="22"/>
        </w:rPr>
      </w:pPr>
      <w:r w:rsidRPr="005A7A48">
        <w:rPr>
          <w:rFonts w:cs="Arial"/>
          <w:sz w:val="22"/>
          <w:szCs w:val="22"/>
        </w:rPr>
        <w:t>Ajanovic, Amela. (2011). “The Effects of Dieselization of the European Passenger Car Fleet on Energy Consumption and CO</w:t>
      </w:r>
      <w:r w:rsidRPr="005A7A48">
        <w:rPr>
          <w:rFonts w:cs="Arial"/>
          <w:sz w:val="22"/>
          <w:szCs w:val="22"/>
          <w:vertAlign w:val="subscript"/>
        </w:rPr>
        <w:t>2</w:t>
      </w:r>
      <w:r w:rsidRPr="005A7A48">
        <w:rPr>
          <w:rFonts w:cs="Arial"/>
          <w:sz w:val="22"/>
          <w:szCs w:val="22"/>
        </w:rPr>
        <w:t xml:space="preserve"> Emissions.” Presented at 34th IAEE International Conference: Institutions, Efficiency and Evolving Energy Technologies. Stockholm, Sweden. June 19-23, 2011.</w:t>
      </w:r>
    </w:p>
    <w:p w:rsidR="00424E17" w:rsidRPr="005A7A48" w:rsidRDefault="00424E17" w:rsidP="00424E17">
      <w:pPr>
        <w:pStyle w:val="FootnoteText"/>
        <w:spacing w:after="240" w:line="276" w:lineRule="auto"/>
        <w:ind w:left="720" w:hanging="720"/>
        <w:rPr>
          <w:rFonts w:cs="Arial"/>
          <w:sz w:val="22"/>
          <w:szCs w:val="22"/>
        </w:rPr>
      </w:pPr>
      <w:r w:rsidRPr="005A7A48">
        <w:rPr>
          <w:rFonts w:cs="Arial"/>
          <w:sz w:val="22"/>
          <w:szCs w:val="22"/>
        </w:rPr>
        <w:t xml:space="preserve">ANFAVEA. (2011). “Brazilian Automotive Industry Yearbook 2011.” Associação Nacional dos Fabricantes de Veículos Automotores. São Paulo, 2011. &lt;http://www.virapagina.com.br/anfavea2011/files/anfavea_2011.pdf&gt;. </w:t>
      </w:r>
    </w:p>
    <w:p w:rsidR="004D674E" w:rsidRPr="005A7A48" w:rsidRDefault="004D674E" w:rsidP="00424E17">
      <w:pPr>
        <w:pStyle w:val="FootnoteText"/>
        <w:spacing w:after="240" w:line="276" w:lineRule="auto"/>
        <w:ind w:left="720" w:hanging="720"/>
        <w:rPr>
          <w:rFonts w:cs="Arial"/>
          <w:sz w:val="22"/>
          <w:szCs w:val="22"/>
        </w:rPr>
      </w:pPr>
      <w:r w:rsidRPr="005A7A48">
        <w:rPr>
          <w:rFonts w:cs="Arial"/>
          <w:sz w:val="22"/>
          <w:szCs w:val="22"/>
        </w:rPr>
        <w:t>ANFAVEA. (2013). "Carta da ANFAVEA." Associação Nacional dos Fabricantes de Veículos Automotores. January 2013. &lt;http://www.anfavea.com.br/cartas/Carta320.pdf&gt;.</w:t>
      </w:r>
    </w:p>
    <w:p w:rsidR="00424E17" w:rsidRPr="005A7A48" w:rsidRDefault="00424E17" w:rsidP="00424E17">
      <w:pPr>
        <w:pStyle w:val="FootnoteText"/>
        <w:spacing w:after="240" w:line="276" w:lineRule="auto"/>
        <w:ind w:left="720" w:hanging="720"/>
        <w:rPr>
          <w:rFonts w:cs="Arial"/>
          <w:sz w:val="22"/>
          <w:szCs w:val="22"/>
        </w:rPr>
      </w:pPr>
      <w:r w:rsidRPr="005A7A48">
        <w:rPr>
          <w:rFonts w:cs="Arial"/>
          <w:sz w:val="22"/>
          <w:szCs w:val="22"/>
        </w:rPr>
        <w:t>ARB. (2000). “California Code of Regulations Title 13, Chapter 8. Clean Fuels Program December 2000.” California Air Resources Board. December 2000. &lt;http://www.arb.ca.gov/fuels/altfuels/cf-outlets/cforeg2000.pdf&gt;.</w:t>
      </w:r>
    </w:p>
    <w:p w:rsidR="00FB6F9E" w:rsidRPr="005A7A48" w:rsidRDefault="00FB6F9E" w:rsidP="00424E17">
      <w:pPr>
        <w:pStyle w:val="FootnoteText"/>
        <w:spacing w:after="240" w:line="276" w:lineRule="auto"/>
        <w:ind w:left="720" w:hanging="720"/>
        <w:rPr>
          <w:rFonts w:cs="Arial"/>
          <w:sz w:val="22"/>
          <w:szCs w:val="22"/>
        </w:rPr>
      </w:pPr>
      <w:r w:rsidRPr="005A7A48">
        <w:rPr>
          <w:rFonts w:cs="Arial"/>
          <w:sz w:val="22"/>
          <w:szCs w:val="22"/>
        </w:rPr>
        <w:t>ARB. (2012). “Clean Fuels Outlet Regulation.” California Air Resources Board, State of California. April 27, 2012. &lt;http://www.arb.ca.gov/fuels/altfuels/cf-outlets/cf-outlets.htm&gt;.</w:t>
      </w:r>
    </w:p>
    <w:p w:rsidR="00FB6F9E" w:rsidRPr="005A7A48" w:rsidRDefault="00FB6F9E" w:rsidP="00424E17">
      <w:pPr>
        <w:pStyle w:val="FootnoteText"/>
        <w:spacing w:after="240" w:line="276" w:lineRule="auto"/>
        <w:ind w:left="720" w:hanging="720"/>
        <w:rPr>
          <w:rFonts w:cs="Arial"/>
          <w:sz w:val="22"/>
          <w:szCs w:val="22"/>
        </w:rPr>
      </w:pPr>
      <w:r w:rsidRPr="005A7A48">
        <w:rPr>
          <w:rFonts w:cs="Arial"/>
          <w:sz w:val="22"/>
          <w:szCs w:val="22"/>
        </w:rPr>
        <w:t>ARB. (2012). “Government Funded Hydrogen Stations.” California Air Resources Board, State of California. November 27, 2012. &lt;http://www.arb.ca.gov/msprog/zevprog/hydrogen/hydrogen_stations.htm&gt;.</w:t>
      </w:r>
    </w:p>
    <w:p w:rsidR="00FB6F9E" w:rsidRPr="005A7A48" w:rsidRDefault="00FB6F9E" w:rsidP="00424E17">
      <w:pPr>
        <w:pStyle w:val="FootnoteText"/>
        <w:spacing w:after="240" w:line="276" w:lineRule="auto"/>
        <w:ind w:left="720" w:hanging="720"/>
        <w:rPr>
          <w:rFonts w:cs="Arial"/>
          <w:sz w:val="22"/>
          <w:szCs w:val="22"/>
        </w:rPr>
      </w:pPr>
      <w:r w:rsidRPr="005A7A48">
        <w:rPr>
          <w:rFonts w:cs="Arial"/>
          <w:sz w:val="22"/>
          <w:szCs w:val="22"/>
        </w:rPr>
        <w:t>ARB. (2012). ”Historical Activities of the CA Hydrogen Highway Network.” California Air Resources Board, State of California. September 17, 2012. &lt;http://www.arb.ca.gov/msprog/zevprog/hydrogen/hydrogen_cah2net.htm&gt;.</w:t>
      </w:r>
    </w:p>
    <w:p w:rsidR="00FB6F9E" w:rsidRPr="005A7A48" w:rsidRDefault="00FB6F9E" w:rsidP="00424E17">
      <w:pPr>
        <w:pStyle w:val="FootnoteText"/>
        <w:spacing w:after="240" w:line="276" w:lineRule="auto"/>
        <w:ind w:left="720" w:hanging="720"/>
        <w:rPr>
          <w:rFonts w:cs="Arial"/>
          <w:sz w:val="22"/>
          <w:szCs w:val="22"/>
        </w:rPr>
      </w:pPr>
      <w:r w:rsidRPr="005A7A48">
        <w:rPr>
          <w:rFonts w:cs="Arial"/>
          <w:sz w:val="22"/>
          <w:szCs w:val="22"/>
        </w:rPr>
        <w:t>ARB. (2013). "Key Events in the History of Air Quality in California.” California Air Resources Board, State of California. February 6, 2012. &lt;http://www.arb.ca.gov/html/brochure/history.htm&gt;.</w:t>
      </w:r>
    </w:p>
    <w:p w:rsidR="00424E17" w:rsidRPr="005A7A48" w:rsidRDefault="00424E17" w:rsidP="00424E17">
      <w:pPr>
        <w:pStyle w:val="FootnoteText"/>
        <w:spacing w:after="240" w:line="276" w:lineRule="auto"/>
        <w:ind w:left="720" w:hanging="720"/>
        <w:rPr>
          <w:rFonts w:cs="Arial"/>
          <w:sz w:val="22"/>
          <w:szCs w:val="22"/>
        </w:rPr>
      </w:pPr>
      <w:r w:rsidRPr="005A7A48">
        <w:rPr>
          <w:rFonts w:cs="Arial"/>
          <w:sz w:val="22"/>
          <w:szCs w:val="22"/>
        </w:rPr>
        <w:t>ARB. (2013). “Staff Report: Initial Statement Of Reasons - Proposed Amendments to the Clean Fuels Outlet Regulation.” California Air Resources Board, State of California. February 13, 2013. &lt;http://www.arb.ca.gov/regact/2013/cfo2013/cfo13isor.pdf&gt;.</w:t>
      </w:r>
    </w:p>
    <w:p w:rsidR="00221BEF" w:rsidRPr="005A7A48" w:rsidRDefault="00221BEF" w:rsidP="00424E17">
      <w:pPr>
        <w:pStyle w:val="FootnoteText"/>
        <w:spacing w:after="240" w:line="276" w:lineRule="auto"/>
        <w:ind w:left="720" w:hanging="720"/>
        <w:rPr>
          <w:rFonts w:cs="Arial"/>
          <w:sz w:val="22"/>
          <w:szCs w:val="22"/>
        </w:rPr>
      </w:pPr>
      <w:r w:rsidRPr="005A7A48">
        <w:rPr>
          <w:rFonts w:cs="Arial"/>
          <w:sz w:val="22"/>
          <w:szCs w:val="22"/>
        </w:rPr>
        <w:t>ARPA-E. (2013). Advanced Research Projects Agency, United States Department of Energy. Website. Accessed March 20, 2013. &lt;http://arpa-e.energy.gov/&gt;.</w:t>
      </w:r>
    </w:p>
    <w:p w:rsidR="0006489F" w:rsidRPr="005A7A48" w:rsidRDefault="0006489F" w:rsidP="00424E17">
      <w:pPr>
        <w:pStyle w:val="FootnoteText"/>
        <w:spacing w:after="240" w:line="276" w:lineRule="auto"/>
        <w:ind w:left="720" w:hanging="720"/>
        <w:rPr>
          <w:rFonts w:cs="Arial"/>
          <w:sz w:val="22"/>
          <w:szCs w:val="22"/>
        </w:rPr>
      </w:pPr>
      <w:r w:rsidRPr="005A7A48">
        <w:rPr>
          <w:rFonts w:cs="Arial"/>
          <w:sz w:val="22"/>
          <w:szCs w:val="22"/>
        </w:rPr>
        <w:t>BNDES. (2013). Brazilian Development Bank. Website. Accessed March 21, 2013. &lt;http://www.bndes.gov.br/SiteBNDES/bndes/bndes_en/&gt;.</w:t>
      </w:r>
    </w:p>
    <w:p w:rsidR="00424E17" w:rsidRPr="005A7A48" w:rsidRDefault="00424E17" w:rsidP="00424E17">
      <w:pPr>
        <w:pStyle w:val="FootnoteText"/>
        <w:spacing w:after="240" w:line="276" w:lineRule="auto"/>
        <w:ind w:left="720" w:hanging="720"/>
        <w:rPr>
          <w:rFonts w:cs="Arial"/>
          <w:sz w:val="22"/>
          <w:szCs w:val="22"/>
        </w:rPr>
      </w:pPr>
      <w:r w:rsidRPr="005A7A48">
        <w:rPr>
          <w:rFonts w:cs="Arial"/>
          <w:sz w:val="22"/>
          <w:szCs w:val="22"/>
        </w:rPr>
        <w:lastRenderedPageBreak/>
        <w:t>Böhme, Dieter (2012). "Entwicklung der erneuerbaren Energien in Deutschland im Jahr 2011." Federal Ministry for Environment, Nature Conservation and Nuclear Safety. February 2012. &lt;http://www.erneuerbare-energien.de/fileadmin/ee-import/files/pdfs/allgemein/application/pdf/ee_in_deutschland_graf_tab.pdf&gt;.</w:t>
      </w:r>
    </w:p>
    <w:p w:rsidR="00AC6B7A" w:rsidRPr="005A7A48" w:rsidRDefault="00AC6B7A" w:rsidP="00424E17">
      <w:pPr>
        <w:pStyle w:val="FootnoteText"/>
        <w:spacing w:after="240" w:line="276" w:lineRule="auto"/>
        <w:ind w:left="720" w:hanging="720"/>
        <w:rPr>
          <w:rFonts w:cs="Arial"/>
          <w:sz w:val="22"/>
          <w:szCs w:val="22"/>
        </w:rPr>
      </w:pPr>
      <w:r w:rsidRPr="005A7A48">
        <w:rPr>
          <w:rFonts w:cs="Arial"/>
          <w:sz w:val="22"/>
          <w:szCs w:val="22"/>
        </w:rPr>
        <w:t>Burger, Scott. (2012). “Big Changes in German Solar Subsidy Policy Approved Today.” Greentech Media. June 29, 2012. &lt;http://www.greentechmedia.com/articles/read/Big-Changes-in-German-Solar-Subsidy-Policy-Approved-Today&gt;.</w:t>
      </w:r>
    </w:p>
    <w:p w:rsidR="00831841" w:rsidRPr="005A7A48" w:rsidRDefault="00831841" w:rsidP="00424E17">
      <w:pPr>
        <w:pStyle w:val="FootnoteText"/>
        <w:spacing w:after="240" w:line="276" w:lineRule="auto"/>
        <w:ind w:left="720" w:hanging="720"/>
        <w:rPr>
          <w:rFonts w:cs="Arial"/>
          <w:sz w:val="22"/>
          <w:szCs w:val="22"/>
        </w:rPr>
      </w:pPr>
      <w:r w:rsidRPr="005A7A48">
        <w:rPr>
          <w:rFonts w:cs="Arial"/>
          <w:sz w:val="22"/>
          <w:szCs w:val="22"/>
        </w:rPr>
        <w:t>California Energy Commission. (2012) “Annual Reporting Results – California Retail Fuel Outlet Annual Report (A15).” California Energy Commission, State of California. 2012. &lt;http://energyalmanac.ca.gov/gasoline/piira_retail_survey.html&gt;.</w:t>
      </w:r>
    </w:p>
    <w:p w:rsidR="00424E17" w:rsidRPr="005A7A48" w:rsidRDefault="00424E17" w:rsidP="00424E17">
      <w:pPr>
        <w:pStyle w:val="FootnoteText"/>
        <w:spacing w:after="240" w:line="276" w:lineRule="auto"/>
        <w:ind w:left="720" w:hanging="720"/>
        <w:rPr>
          <w:rFonts w:cs="Arial"/>
          <w:sz w:val="22"/>
          <w:szCs w:val="22"/>
        </w:rPr>
      </w:pPr>
      <w:r w:rsidRPr="005A7A48">
        <w:rPr>
          <w:rFonts w:cs="Arial"/>
          <w:sz w:val="22"/>
          <w:szCs w:val="22"/>
        </w:rPr>
        <w:t>Capar, Ismail, Michael Kuby, V. Jorge Leon, and Yu-Jiun Tsai. (2013). “An arc cover</w:t>
      </w:r>
      <w:r w:rsidR="00715731" w:rsidRPr="005A7A48">
        <w:rPr>
          <w:rFonts w:cs="Arial"/>
          <w:sz w:val="22"/>
          <w:szCs w:val="22"/>
        </w:rPr>
        <w:t>-</w:t>
      </w:r>
      <w:r w:rsidRPr="005A7A48">
        <w:rPr>
          <w:rFonts w:cs="Arial"/>
          <w:sz w:val="22"/>
          <w:szCs w:val="22"/>
        </w:rPr>
        <w:t>path-cover formulation and strategic analysis of alternative-fuel station locations.” European Journal of Operational Research. Volume 227, Issue 1, pp. 142-151. May 2013.</w:t>
      </w:r>
    </w:p>
    <w:p w:rsidR="00424E17" w:rsidRPr="005A7A48" w:rsidRDefault="00424E17" w:rsidP="00424E17">
      <w:pPr>
        <w:pStyle w:val="FootnoteText"/>
        <w:spacing w:after="240" w:line="276" w:lineRule="auto"/>
        <w:ind w:left="720" w:hanging="720"/>
        <w:rPr>
          <w:rFonts w:cs="Arial"/>
          <w:sz w:val="22"/>
          <w:szCs w:val="22"/>
        </w:rPr>
      </w:pPr>
      <w:r w:rsidRPr="005A7A48">
        <w:rPr>
          <w:rFonts w:cs="Arial"/>
          <w:sz w:val="22"/>
          <w:szCs w:val="22"/>
        </w:rPr>
        <w:t>Cardwell, Diane. (2013). “Renewable Energy Industries Push for New Financing Options.” The New York Times. January 30, 2013. &lt;http://dealbook.nytimes.com/2013/01/30/renewable-energy-industries-push-for-new-financing-options/&gt;.</w:t>
      </w:r>
    </w:p>
    <w:p w:rsidR="00A307C3" w:rsidRPr="005A7A48" w:rsidRDefault="00A307C3" w:rsidP="00424E17">
      <w:pPr>
        <w:pStyle w:val="FootnoteText"/>
        <w:spacing w:after="240" w:line="276" w:lineRule="auto"/>
        <w:ind w:left="720" w:hanging="720"/>
        <w:rPr>
          <w:rFonts w:cs="Arial"/>
          <w:sz w:val="22"/>
          <w:szCs w:val="22"/>
        </w:rPr>
      </w:pPr>
      <w:r w:rsidRPr="005A7A48">
        <w:rPr>
          <w:rFonts w:cs="Arial"/>
          <w:sz w:val="22"/>
          <w:szCs w:val="22"/>
        </w:rPr>
        <w:t>ChargePoint. (2013). ChargePoint America. Website. Accessed March 22, 2013. &lt;http://www.chargepointamerica.com/&gt;.</w:t>
      </w:r>
    </w:p>
    <w:p w:rsidR="00424E17" w:rsidRPr="005A7A48" w:rsidRDefault="00424E17" w:rsidP="00424E17">
      <w:pPr>
        <w:pStyle w:val="FootnoteText"/>
        <w:spacing w:after="240" w:line="276" w:lineRule="auto"/>
        <w:ind w:left="720" w:hanging="720"/>
        <w:rPr>
          <w:rFonts w:cs="Arial"/>
          <w:sz w:val="22"/>
          <w:szCs w:val="22"/>
        </w:rPr>
      </w:pPr>
      <w:r w:rsidRPr="005A7A48">
        <w:rPr>
          <w:rFonts w:cs="Arial"/>
          <w:sz w:val="22"/>
          <w:szCs w:val="22"/>
        </w:rPr>
        <w:t xml:space="preserve">China Daily. (2012). “Limits revised to promote green autos.” </w:t>
      </w:r>
      <w:r w:rsidRPr="005A7A48">
        <w:rPr>
          <w:rFonts w:cs="Arial"/>
          <w:color w:val="000000"/>
          <w:sz w:val="22"/>
          <w:szCs w:val="22"/>
        </w:rPr>
        <w:t>China.org.cn. August 6, 2012.</w:t>
      </w:r>
      <w:r w:rsidRPr="005A7A48">
        <w:rPr>
          <w:rFonts w:cs="Arial"/>
          <w:sz w:val="22"/>
          <w:szCs w:val="22"/>
        </w:rPr>
        <w:t xml:space="preserve"> &lt;http://www.china.org.cn/environment/2012-08/06/content_26140796.htm&gt;.</w:t>
      </w:r>
    </w:p>
    <w:p w:rsidR="00BF312A" w:rsidRDefault="00BF312A" w:rsidP="00424E17">
      <w:pPr>
        <w:pStyle w:val="FootnoteText"/>
        <w:spacing w:after="240" w:line="276" w:lineRule="auto"/>
        <w:ind w:left="720" w:hanging="720"/>
        <w:rPr>
          <w:rFonts w:cs="Arial"/>
          <w:sz w:val="22"/>
          <w:szCs w:val="22"/>
        </w:rPr>
      </w:pPr>
      <w:r w:rsidRPr="00BF312A">
        <w:rPr>
          <w:rFonts w:cs="Arial"/>
          <w:sz w:val="22"/>
          <w:szCs w:val="22"/>
        </w:rPr>
        <w:t>Clean Cities. (2013). “Clean Cities Alternative Fuel Price Report, January 2013.” Energy Efficiency &amp; Renewable Energy, U</w:t>
      </w:r>
      <w:r>
        <w:rPr>
          <w:rFonts w:cs="Arial"/>
          <w:sz w:val="22"/>
          <w:szCs w:val="22"/>
        </w:rPr>
        <w:t>nited States</w:t>
      </w:r>
      <w:r w:rsidRPr="00BF312A">
        <w:rPr>
          <w:rFonts w:cs="Arial"/>
          <w:sz w:val="22"/>
          <w:szCs w:val="22"/>
        </w:rPr>
        <w:t xml:space="preserve"> Department of Energy. January 2013. &lt;http://www.afdc.energy.gov/uploads/publication/alternativ</w:t>
      </w:r>
      <w:r>
        <w:rPr>
          <w:rFonts w:cs="Arial"/>
          <w:sz w:val="22"/>
          <w:szCs w:val="22"/>
        </w:rPr>
        <w:t>e_fuel_price_report_jan_2013.pd</w:t>
      </w:r>
      <w:r w:rsidRPr="00BF312A">
        <w:rPr>
          <w:rFonts w:cs="Arial"/>
          <w:sz w:val="22"/>
          <w:szCs w:val="22"/>
        </w:rPr>
        <w:t>&gt;.</w:t>
      </w:r>
    </w:p>
    <w:p w:rsidR="00424E17" w:rsidRPr="005A7A48" w:rsidRDefault="00424E17" w:rsidP="00424E17">
      <w:pPr>
        <w:pStyle w:val="FootnoteText"/>
        <w:spacing w:after="240" w:line="276" w:lineRule="auto"/>
        <w:ind w:left="720" w:hanging="720"/>
        <w:rPr>
          <w:rFonts w:cs="Arial"/>
          <w:sz w:val="22"/>
          <w:szCs w:val="22"/>
        </w:rPr>
      </w:pPr>
      <w:r w:rsidRPr="005A7A48">
        <w:rPr>
          <w:rFonts w:cs="Arial"/>
          <w:sz w:val="22"/>
          <w:szCs w:val="22"/>
        </w:rPr>
        <w:t>Cordonnier, Vanessa M. (2008). “Ethanol's Roots: How Brazilian Legislation Created the International Ethanol Boom” William &amp; Mary Environmental Law and Policy Review. Volume 33, Issue 1. pp. 287-317. 2008. &lt;http://scholarship.law.wm.edu/wmelpr/vol33/iss1/6&gt;.</w:t>
      </w:r>
    </w:p>
    <w:p w:rsidR="007F58CB" w:rsidRPr="005A7A48" w:rsidRDefault="007F58CB" w:rsidP="00424E17">
      <w:pPr>
        <w:pStyle w:val="FootnoteText"/>
        <w:spacing w:after="240" w:line="276" w:lineRule="auto"/>
        <w:ind w:left="720" w:hanging="720"/>
        <w:rPr>
          <w:rFonts w:cs="Arial"/>
          <w:sz w:val="22"/>
          <w:szCs w:val="22"/>
        </w:rPr>
      </w:pPr>
      <w:r w:rsidRPr="005A7A48">
        <w:rPr>
          <w:rFonts w:cs="Arial"/>
          <w:sz w:val="22"/>
          <w:szCs w:val="22"/>
        </w:rPr>
        <w:t>Corts, Kenneth S. (2010). “Building out alternative Fuel retail infrastructure: Government fleet spillovers in E85.” Journal of Environmental Economics and Management. Volume 59, Issue 3, pp. 219-234. May 2010.</w:t>
      </w:r>
    </w:p>
    <w:p w:rsidR="00FA1130" w:rsidRPr="005A7A48" w:rsidRDefault="00FA1130" w:rsidP="00424E17">
      <w:pPr>
        <w:pStyle w:val="FootnoteText"/>
        <w:spacing w:after="240" w:line="276" w:lineRule="auto"/>
        <w:ind w:left="720" w:hanging="720"/>
        <w:rPr>
          <w:rFonts w:cs="Arial"/>
          <w:sz w:val="22"/>
          <w:szCs w:val="22"/>
        </w:rPr>
      </w:pPr>
      <w:r w:rsidRPr="005A7A48">
        <w:rPr>
          <w:rFonts w:cs="Arial"/>
          <w:sz w:val="22"/>
          <w:szCs w:val="22"/>
        </w:rPr>
        <w:t>CRS. (2010). “Renewable Fuel Standard (RFS): Overview and Issues” Congressional Research Service. July 14, 2010. &lt;http://crs.ncseonline.org/nle/crsreports/10Jul/R40155.pdf&gt;.</w:t>
      </w:r>
    </w:p>
    <w:p w:rsidR="00424E17" w:rsidRPr="005A7A48" w:rsidRDefault="00424E17" w:rsidP="00424E17">
      <w:pPr>
        <w:pStyle w:val="FootnoteText"/>
        <w:spacing w:after="240" w:line="276" w:lineRule="auto"/>
        <w:ind w:left="720" w:hanging="720"/>
        <w:rPr>
          <w:rFonts w:cs="Arial"/>
          <w:sz w:val="22"/>
          <w:szCs w:val="22"/>
        </w:rPr>
      </w:pPr>
      <w:r w:rsidRPr="005A7A48">
        <w:rPr>
          <w:rFonts w:cs="Arial"/>
          <w:sz w:val="22"/>
          <w:szCs w:val="22"/>
        </w:rPr>
        <w:lastRenderedPageBreak/>
        <w:t>Dickerson, Maria. (2005). “Brazil's ethanol effort helping lead to oil self-sufficiency.” The Seattle Times. June 17, 2005. &lt;http://seattletimes.com/html/nationworld/2002339093_brazilfuel17.html&gt;.</w:t>
      </w:r>
    </w:p>
    <w:p w:rsidR="00424E17" w:rsidRPr="005A7A48" w:rsidRDefault="00424E17" w:rsidP="00424E17">
      <w:pPr>
        <w:pStyle w:val="FootnoteText"/>
        <w:spacing w:after="240" w:line="276" w:lineRule="auto"/>
        <w:ind w:left="720" w:hanging="720"/>
        <w:rPr>
          <w:rFonts w:cs="Arial"/>
          <w:sz w:val="22"/>
          <w:szCs w:val="22"/>
        </w:rPr>
      </w:pPr>
      <w:r w:rsidRPr="005A7A48">
        <w:rPr>
          <w:rFonts w:cs="Arial"/>
          <w:sz w:val="22"/>
          <w:szCs w:val="22"/>
        </w:rPr>
        <w:t>Diesel Technology Forum. (2001). “Demand for Diesels: The European Experience.” Diesel Technology Forum. July 2001. &lt;http://www.dieselforum.org/files/dmfile/DemandforDiesels.pdf&gt;.</w:t>
      </w:r>
    </w:p>
    <w:p w:rsidR="000550E8" w:rsidRPr="005A7A48" w:rsidRDefault="000550E8" w:rsidP="00BB35C0">
      <w:pPr>
        <w:pStyle w:val="FootnoteText"/>
        <w:spacing w:after="240" w:line="276" w:lineRule="auto"/>
        <w:ind w:left="720" w:hanging="720"/>
        <w:rPr>
          <w:rFonts w:cs="Arial"/>
          <w:sz w:val="22"/>
          <w:szCs w:val="22"/>
        </w:rPr>
      </w:pPr>
      <w:r w:rsidRPr="005A7A48">
        <w:rPr>
          <w:rFonts w:cs="Arial"/>
          <w:sz w:val="22"/>
          <w:szCs w:val="22"/>
        </w:rPr>
        <w:t>DOE. (2009). “Recovery Act Awards for Alternative Fuels and Advanced Vehicle Pilot Program.” U.S. Department of Energy. August 26, 2009. &lt;http://michigan.gov/documents/recovery/Clean_Cities_Recovery_Act_Award_List_8_25_09_v4_290161_7.pdf&gt;.</w:t>
      </w:r>
    </w:p>
    <w:p w:rsidR="00F97FD2" w:rsidRPr="005A7A48" w:rsidRDefault="00F97FD2" w:rsidP="00BB35C0">
      <w:pPr>
        <w:pStyle w:val="FootnoteText"/>
        <w:spacing w:after="240" w:line="276" w:lineRule="auto"/>
        <w:ind w:left="720" w:hanging="720"/>
        <w:rPr>
          <w:rFonts w:cs="Arial"/>
          <w:sz w:val="22"/>
          <w:szCs w:val="22"/>
        </w:rPr>
      </w:pPr>
      <w:r w:rsidRPr="005A7A48">
        <w:rPr>
          <w:rFonts w:cs="Arial"/>
          <w:sz w:val="22"/>
          <w:szCs w:val="22"/>
        </w:rPr>
        <w:t>DOE. (2013). "ATVM." Loan Programs Office, United States Department of Energy. Accessed March 21, 2013. &lt;https://lpo.energy.gov/?page_id=43&gt;.</w:t>
      </w:r>
    </w:p>
    <w:p w:rsidR="00990E61" w:rsidRPr="005A7A48" w:rsidRDefault="00990E61" w:rsidP="00BB35C0">
      <w:pPr>
        <w:pStyle w:val="FootnoteText"/>
        <w:spacing w:after="240" w:line="276" w:lineRule="auto"/>
        <w:ind w:left="720" w:hanging="720"/>
        <w:rPr>
          <w:rFonts w:cs="Arial"/>
          <w:sz w:val="22"/>
          <w:szCs w:val="22"/>
        </w:rPr>
      </w:pPr>
      <w:r w:rsidRPr="005A7A48">
        <w:rPr>
          <w:rFonts w:cs="Arial"/>
          <w:sz w:val="22"/>
          <w:szCs w:val="22"/>
        </w:rPr>
        <w:t>DSIRE. (2013). “Renewable Electricity Production Tax Credit (PTC).” Database of State Incentives for Renewables &amp; Efficiency. January 3, 2013. &lt;http://dsireusa.org/incentives/incentive.cfm?Incentive_Code=US13F&gt;.</w:t>
      </w:r>
    </w:p>
    <w:p w:rsidR="00BB35C0" w:rsidRPr="005A7A48" w:rsidRDefault="00BB35C0" w:rsidP="00BB35C0">
      <w:pPr>
        <w:pStyle w:val="FootnoteText"/>
        <w:spacing w:after="240" w:line="276" w:lineRule="auto"/>
        <w:ind w:left="720" w:hanging="720"/>
        <w:rPr>
          <w:rFonts w:cs="Arial"/>
          <w:sz w:val="22"/>
          <w:szCs w:val="22"/>
        </w:rPr>
      </w:pPr>
      <w:r w:rsidRPr="005A7A48">
        <w:rPr>
          <w:rFonts w:cs="Arial"/>
          <w:sz w:val="22"/>
          <w:szCs w:val="22"/>
        </w:rPr>
        <w:t>Durbin, Dee-Ann. (2013). “Natural Gas Vehicles Making Inroads; Sales Rising.” Associated Press. March 5, 2013. &lt;http://bigstory.ap.org/article/natural-gas-vehicles-making-inroads-sales-rising&gt;.</w:t>
      </w:r>
    </w:p>
    <w:p w:rsidR="008E6A4D" w:rsidRPr="005A7A48" w:rsidRDefault="008E6A4D" w:rsidP="00424E17">
      <w:pPr>
        <w:pStyle w:val="FootnoteText"/>
        <w:spacing w:after="240" w:line="276" w:lineRule="auto"/>
        <w:ind w:left="720" w:hanging="720"/>
        <w:rPr>
          <w:rFonts w:cs="Arial"/>
          <w:sz w:val="22"/>
          <w:szCs w:val="22"/>
        </w:rPr>
      </w:pPr>
      <w:r w:rsidRPr="005A7A48">
        <w:rPr>
          <w:rFonts w:cs="Arial"/>
          <w:sz w:val="22"/>
          <w:szCs w:val="22"/>
        </w:rPr>
        <w:t>Eaton. (2012). “Eaton to Develop Affordable Home Refueling Station for Natural Gas Vehicles; Project Complements Eaton Advancements in Electric Vehicle Charging Stations.” Eaton Corporation. July 20, 2012. &lt;http://www.eaton.com/Eaton/OurCompany/NewsEvents/NewsReleases/PCT_378453&gt;.</w:t>
      </w:r>
    </w:p>
    <w:p w:rsidR="00424E17" w:rsidRPr="005A7A48" w:rsidRDefault="00424E17" w:rsidP="00424E17">
      <w:pPr>
        <w:pStyle w:val="FootnoteText"/>
        <w:spacing w:after="240" w:line="276" w:lineRule="auto"/>
        <w:ind w:left="720" w:hanging="720"/>
        <w:rPr>
          <w:rFonts w:cs="Arial"/>
          <w:sz w:val="22"/>
          <w:szCs w:val="22"/>
        </w:rPr>
      </w:pPr>
      <w:r w:rsidRPr="005A7A48">
        <w:rPr>
          <w:rFonts w:cs="Arial"/>
          <w:sz w:val="22"/>
          <w:szCs w:val="22"/>
        </w:rPr>
        <w:t>Economist. (2013). “Building Infrastructure: A River Runs through It.” The Economist. March 2</w:t>
      </w:r>
      <w:r w:rsidRPr="005A7A48">
        <w:rPr>
          <w:rFonts w:cs="Arial"/>
          <w:sz w:val="22"/>
          <w:szCs w:val="22"/>
          <w:vertAlign w:val="superscript"/>
        </w:rPr>
        <w:t>nd</w:t>
      </w:r>
      <w:r w:rsidRPr="005A7A48">
        <w:rPr>
          <w:rFonts w:cs="Arial"/>
          <w:sz w:val="22"/>
          <w:szCs w:val="22"/>
        </w:rPr>
        <w:t>, 2013. &lt;http://www.economist.com/news/united-states/21572794-natural-experiment-infrastructure-river-runs-through-it&gt;.</w:t>
      </w:r>
    </w:p>
    <w:p w:rsidR="00C102B0" w:rsidRPr="005A7A48" w:rsidRDefault="00C102B0" w:rsidP="00424E17">
      <w:pPr>
        <w:pStyle w:val="FootnoteText"/>
        <w:spacing w:after="240" w:line="276" w:lineRule="auto"/>
        <w:ind w:left="720" w:hanging="720"/>
        <w:rPr>
          <w:rFonts w:cs="Arial"/>
          <w:sz w:val="22"/>
          <w:szCs w:val="22"/>
        </w:rPr>
      </w:pPr>
      <w:r w:rsidRPr="005A7A48">
        <w:rPr>
          <w:rFonts w:cs="Arial"/>
          <w:sz w:val="22"/>
          <w:szCs w:val="22"/>
        </w:rPr>
        <w:t>ECOtality. (2010). “The EV Project Expands To Texas.” ECOtality North America. July 15, 2010. &lt;http://www.ecotality.com/pressreleases/07142010_Expansion_Texas.pdf&gt;.</w:t>
      </w:r>
    </w:p>
    <w:p w:rsidR="00424E17" w:rsidRPr="005A7A48" w:rsidRDefault="00424E17" w:rsidP="00424E17">
      <w:pPr>
        <w:pStyle w:val="FootnoteText"/>
        <w:spacing w:after="240" w:line="276" w:lineRule="auto"/>
        <w:ind w:left="720" w:hanging="720"/>
        <w:rPr>
          <w:rFonts w:cs="Arial"/>
          <w:sz w:val="22"/>
          <w:szCs w:val="22"/>
        </w:rPr>
      </w:pPr>
      <w:r w:rsidRPr="005A7A48">
        <w:rPr>
          <w:rFonts w:cs="Arial"/>
          <w:sz w:val="22"/>
          <w:szCs w:val="22"/>
        </w:rPr>
        <w:t>EERE. (2013). Alternative Fuels Data Center. Energy Efficiency &amp; Renewable Energy, United States Department of Energy. Accessed February 13, 2013. &lt;http://www.afdc.energy.gov/&gt;.</w:t>
      </w:r>
    </w:p>
    <w:p w:rsidR="00201DEC" w:rsidRPr="005A7A48" w:rsidRDefault="00201DEC" w:rsidP="00424E17">
      <w:pPr>
        <w:pStyle w:val="FootnoteText"/>
        <w:spacing w:after="240" w:line="276" w:lineRule="auto"/>
        <w:ind w:left="720" w:hanging="720"/>
        <w:rPr>
          <w:rFonts w:cs="Arial"/>
          <w:sz w:val="22"/>
          <w:szCs w:val="22"/>
        </w:rPr>
      </w:pPr>
      <w:r w:rsidRPr="005A7A48">
        <w:rPr>
          <w:rFonts w:cs="Arial"/>
          <w:sz w:val="22"/>
          <w:szCs w:val="22"/>
        </w:rPr>
        <w:t>EERE. (2013). FuelEconomy.gov. Energy Efficiency &amp; Renewable Energy, United States Department of Energy. Accessed March 11, 2013. &lt;http://www.fueleconomy.gov/&gt;.</w:t>
      </w:r>
    </w:p>
    <w:p w:rsidR="00424E17" w:rsidRPr="005A7A48" w:rsidRDefault="00424E17" w:rsidP="00424E17">
      <w:pPr>
        <w:pStyle w:val="FootnoteText"/>
        <w:spacing w:after="240" w:line="276" w:lineRule="auto"/>
        <w:ind w:left="720" w:hanging="720"/>
        <w:rPr>
          <w:rFonts w:cs="Arial"/>
          <w:sz w:val="22"/>
          <w:szCs w:val="22"/>
        </w:rPr>
      </w:pPr>
      <w:r w:rsidRPr="005A7A48">
        <w:rPr>
          <w:rFonts w:cs="Arial"/>
          <w:sz w:val="22"/>
          <w:szCs w:val="22"/>
        </w:rPr>
        <w:t xml:space="preserve">EIA. (2009). “Light-Duty Diesel Vehicles: Market Issues and Potential Energy and Emissions Impacts.” Energy Information Administration, United States Department of Energy. </w:t>
      </w:r>
      <w:r w:rsidR="002F6788" w:rsidRPr="005A7A48">
        <w:rPr>
          <w:rFonts w:cs="Arial"/>
          <w:sz w:val="22"/>
          <w:szCs w:val="22"/>
        </w:rPr>
        <w:t xml:space="preserve">Report # </w:t>
      </w:r>
      <w:r w:rsidR="002F6788" w:rsidRPr="005A7A48">
        <w:rPr>
          <w:rFonts w:cs="Helvetica"/>
          <w:sz w:val="22"/>
          <w:szCs w:val="22"/>
        </w:rPr>
        <w:t>SR/OIAF/(2009)02</w:t>
      </w:r>
      <w:r w:rsidR="002F6788" w:rsidRPr="005A7A48">
        <w:rPr>
          <w:rFonts w:cs="Arial"/>
          <w:sz w:val="22"/>
          <w:szCs w:val="22"/>
        </w:rPr>
        <w:t xml:space="preserve"> </w:t>
      </w:r>
      <w:r w:rsidRPr="005A7A48">
        <w:rPr>
          <w:rFonts w:cs="Arial"/>
          <w:sz w:val="22"/>
          <w:szCs w:val="22"/>
        </w:rPr>
        <w:t>January 2009. &lt;http://www.eia.gov/oiaf/servicerpt/lightduty/pdf/sroiaf(2009)02.pdf&gt;.</w:t>
      </w:r>
    </w:p>
    <w:p w:rsidR="00E86BAE" w:rsidRPr="005A7A48" w:rsidRDefault="00E86BAE" w:rsidP="00424E17">
      <w:pPr>
        <w:pStyle w:val="FootnoteText"/>
        <w:spacing w:after="240" w:line="276" w:lineRule="auto"/>
        <w:ind w:left="720" w:hanging="720"/>
        <w:rPr>
          <w:rFonts w:cs="Arial"/>
          <w:sz w:val="22"/>
          <w:szCs w:val="22"/>
        </w:rPr>
      </w:pPr>
      <w:r w:rsidRPr="005A7A48">
        <w:rPr>
          <w:rFonts w:cs="Arial"/>
          <w:sz w:val="22"/>
          <w:szCs w:val="22"/>
        </w:rPr>
        <w:lastRenderedPageBreak/>
        <w:t>EIA. (2012). “Annual Energy Outlook 2012 with Projections to 2035.” DOE/EIA-0383(2012). Energy Information Administration, United States Department of Energy. June 2012. &lt;http://www.eia.gov/forecasts/aeo/pdf/0383(2012).pdf&gt;.</w:t>
      </w:r>
    </w:p>
    <w:p w:rsidR="00A86C96" w:rsidRPr="005A7A48" w:rsidRDefault="00A86C96" w:rsidP="00424E17">
      <w:pPr>
        <w:pStyle w:val="FootnoteText"/>
        <w:spacing w:after="240" w:line="276" w:lineRule="auto"/>
        <w:ind w:left="720" w:hanging="720"/>
        <w:rPr>
          <w:rFonts w:cs="Arial"/>
          <w:sz w:val="22"/>
          <w:szCs w:val="22"/>
        </w:rPr>
      </w:pPr>
      <w:r w:rsidRPr="005A7A48">
        <w:rPr>
          <w:rFonts w:cs="Arial"/>
          <w:sz w:val="22"/>
          <w:szCs w:val="22"/>
        </w:rPr>
        <w:t>EIA. (2012).</w:t>
      </w:r>
      <w:r w:rsidR="003A19B6" w:rsidRPr="005A7A48">
        <w:rPr>
          <w:rFonts w:cs="Arial"/>
          <w:sz w:val="22"/>
          <w:szCs w:val="22"/>
        </w:rPr>
        <w:t xml:space="preserve"> “Frequently Asked Questions.” </w:t>
      </w:r>
      <w:r w:rsidRPr="005A7A48">
        <w:rPr>
          <w:rFonts w:cs="Arial"/>
          <w:sz w:val="22"/>
          <w:szCs w:val="22"/>
        </w:rPr>
        <w:t>United States Energy Information Administration. September 5, 2012. &lt;http://www.eia.gov/tools/faqs/&gt;.</w:t>
      </w:r>
    </w:p>
    <w:p w:rsidR="00424E17" w:rsidRPr="005A7A48" w:rsidRDefault="00424E17" w:rsidP="00424E17">
      <w:pPr>
        <w:pStyle w:val="FootnoteText"/>
        <w:spacing w:after="240" w:line="276" w:lineRule="auto"/>
        <w:ind w:left="720" w:hanging="720"/>
        <w:rPr>
          <w:rFonts w:cs="Arial"/>
          <w:sz w:val="22"/>
          <w:szCs w:val="22"/>
        </w:rPr>
      </w:pPr>
      <w:r w:rsidRPr="005A7A48">
        <w:rPr>
          <w:rFonts w:cs="Arial"/>
          <w:sz w:val="22"/>
          <w:szCs w:val="22"/>
        </w:rPr>
        <w:t>EIA. (2012). “Table 10.3 Fuel Ethanol Overview, 1981-2011.” Annual Energy Review. United States Energy Information Administration. September 27, 2012. &lt;http://www.eia.gov/totalenergy/data/annual/showtext.cfm?t=ptb1003&gt;.</w:t>
      </w:r>
    </w:p>
    <w:p w:rsidR="00424E17" w:rsidRPr="005A7A48" w:rsidRDefault="00424E17" w:rsidP="00424E17">
      <w:pPr>
        <w:pStyle w:val="FootnoteText"/>
        <w:spacing w:after="240" w:line="276" w:lineRule="auto"/>
        <w:ind w:left="720" w:hanging="720"/>
        <w:rPr>
          <w:rFonts w:cs="Arial"/>
          <w:sz w:val="22"/>
          <w:szCs w:val="22"/>
        </w:rPr>
      </w:pPr>
      <w:r w:rsidRPr="005A7A48">
        <w:rPr>
          <w:rFonts w:cs="Arial"/>
          <w:sz w:val="22"/>
          <w:szCs w:val="22"/>
        </w:rPr>
        <w:t>EIA. (2012). “U.S. Fuel Ethanol Plant Production Capacity Report.” United States Energy Information Administration. May 30, 2012. &lt;http://www.eia.gov/petroleum/ethanolcapacity/index.cfm&gt;.</w:t>
      </w:r>
    </w:p>
    <w:p w:rsidR="00424E17" w:rsidRPr="005A7A48" w:rsidRDefault="00424E17" w:rsidP="00424E17">
      <w:pPr>
        <w:pStyle w:val="FootnoteText"/>
        <w:spacing w:after="240" w:line="276" w:lineRule="auto"/>
        <w:ind w:left="720" w:hanging="720"/>
        <w:rPr>
          <w:rFonts w:cs="Arial"/>
          <w:sz w:val="22"/>
          <w:szCs w:val="22"/>
        </w:rPr>
      </w:pPr>
      <w:r w:rsidRPr="005A7A48">
        <w:rPr>
          <w:rFonts w:cs="Arial"/>
          <w:sz w:val="22"/>
          <w:szCs w:val="22"/>
        </w:rPr>
        <w:t>EIA. (2013). “Cellulosic biofuels begin to flow but in lower volumes than foreseen by statutory targets.” United States Energy Information Administration. February 26, 2013. &lt;http://www.eia.gov/todayinenergy/detail.cfm?id=10131&gt;.</w:t>
      </w:r>
    </w:p>
    <w:p w:rsidR="00424E17" w:rsidRPr="005A7A48" w:rsidRDefault="00424E17" w:rsidP="00424E17">
      <w:pPr>
        <w:pStyle w:val="FootnoteText"/>
        <w:spacing w:after="240" w:line="276" w:lineRule="auto"/>
        <w:ind w:left="720" w:hanging="720"/>
        <w:rPr>
          <w:rFonts w:cs="Arial"/>
          <w:sz w:val="22"/>
          <w:szCs w:val="22"/>
        </w:rPr>
      </w:pPr>
      <w:r w:rsidRPr="005A7A48">
        <w:rPr>
          <w:rFonts w:cs="Arial"/>
          <w:sz w:val="22"/>
          <w:szCs w:val="22"/>
        </w:rPr>
        <w:t>EIA. (2013). “Table 1. U.S. Biodiesel Production Capacity and Production.” Monthly Biodiesel Production Report. United States Energy Information Administration. February 27, 2013. &lt;http://www.eia.gov/biofuels/biodiesel/production/table1.pdf&gt;.</w:t>
      </w:r>
    </w:p>
    <w:p w:rsidR="0006489F" w:rsidRPr="005A7A48" w:rsidRDefault="0006489F" w:rsidP="00424E17">
      <w:pPr>
        <w:pStyle w:val="FootnoteText"/>
        <w:spacing w:after="240" w:line="276" w:lineRule="auto"/>
        <w:ind w:left="720" w:hanging="720"/>
        <w:rPr>
          <w:rFonts w:cs="Arial"/>
          <w:sz w:val="22"/>
          <w:szCs w:val="22"/>
        </w:rPr>
      </w:pPr>
      <w:r w:rsidRPr="005A7A48">
        <w:rPr>
          <w:rFonts w:cs="Arial"/>
          <w:sz w:val="22"/>
          <w:szCs w:val="22"/>
        </w:rPr>
        <w:t xml:space="preserve">EIB. (2013). The European Investment Bank. Website. Accessed March 21, 2013. &lt;http://www.eib.org/&gt;. </w:t>
      </w:r>
    </w:p>
    <w:p w:rsidR="00424E17" w:rsidRPr="005A7A48" w:rsidRDefault="00424E17" w:rsidP="00424E17">
      <w:pPr>
        <w:pStyle w:val="FootnoteText"/>
        <w:spacing w:after="240" w:line="276" w:lineRule="auto"/>
        <w:ind w:left="720" w:hanging="720"/>
        <w:rPr>
          <w:rFonts w:cs="Arial"/>
          <w:sz w:val="22"/>
          <w:szCs w:val="22"/>
        </w:rPr>
      </w:pPr>
      <w:r w:rsidRPr="005A7A48">
        <w:rPr>
          <w:rFonts w:cs="Arial"/>
          <w:sz w:val="22"/>
          <w:szCs w:val="22"/>
        </w:rPr>
        <w:t>EPA. (2013). “Renewable Fuel Standard (RFS).” United States Environmental Protection Agency Website. Accessed March 4, 2013. &lt;http://www.epa.gov/otaq/fuels/renewablefuels/index.htm&gt;.</w:t>
      </w:r>
    </w:p>
    <w:p w:rsidR="00D44EFA" w:rsidRPr="005A7A48" w:rsidRDefault="00D44EFA" w:rsidP="00424E17">
      <w:pPr>
        <w:pStyle w:val="FootnoteText"/>
        <w:spacing w:after="240" w:line="276" w:lineRule="auto"/>
        <w:ind w:left="720" w:hanging="720"/>
        <w:rPr>
          <w:rFonts w:cs="Arial"/>
          <w:sz w:val="22"/>
          <w:szCs w:val="22"/>
        </w:rPr>
      </w:pPr>
      <w:r w:rsidRPr="005A7A48">
        <w:rPr>
          <w:rFonts w:cs="Arial"/>
          <w:sz w:val="22"/>
          <w:szCs w:val="22"/>
        </w:rPr>
        <w:t>eTec. (2010). “Electric Vehicle Charging Infrastructure Deployment Guidelines for the Oregon I-5 Metro Areas of Portland, Salem, Corvallis and Eugene.” Electric Transportation Engineering Corporation, an ECOtality Company. April 2010. &lt;http://www.oregon.gov/ODOT/HWY/OIPP/docs/EVDeployGuidelines3-1.pdf&gt;.</w:t>
      </w:r>
    </w:p>
    <w:p w:rsidR="00831841" w:rsidRPr="005A7A48" w:rsidRDefault="00831841" w:rsidP="00424E17">
      <w:pPr>
        <w:pStyle w:val="FootnoteText"/>
        <w:spacing w:after="240" w:line="276" w:lineRule="auto"/>
        <w:ind w:left="720" w:hanging="720"/>
        <w:rPr>
          <w:rFonts w:cs="Arial"/>
          <w:sz w:val="22"/>
          <w:szCs w:val="22"/>
        </w:rPr>
      </w:pPr>
      <w:r w:rsidRPr="005A7A48">
        <w:rPr>
          <w:rFonts w:cs="Arial"/>
          <w:sz w:val="22"/>
          <w:szCs w:val="22"/>
        </w:rPr>
        <w:t>European Commission. (2013). “IP/13/40 EU launches clean fuel strategy.” European Commission. January 24, 2013. &lt;http://europa.eu/rapid/press-release_IP-13-40_en.htm#PR_metaPressRelease_bottom&gt;.</w:t>
      </w:r>
    </w:p>
    <w:p w:rsidR="00831841" w:rsidRPr="005A7A48" w:rsidRDefault="00831841" w:rsidP="00424E17">
      <w:pPr>
        <w:pStyle w:val="FootnoteText"/>
        <w:spacing w:after="240" w:line="276" w:lineRule="auto"/>
        <w:ind w:left="720" w:hanging="720"/>
        <w:rPr>
          <w:rFonts w:cs="Arial"/>
          <w:sz w:val="22"/>
          <w:szCs w:val="22"/>
        </w:rPr>
      </w:pPr>
      <w:r w:rsidRPr="005A7A48">
        <w:rPr>
          <w:rFonts w:cs="Arial"/>
          <w:sz w:val="22"/>
          <w:szCs w:val="22"/>
        </w:rPr>
        <w:t>European Commission. (2013). "MEMO/13/24 Clean power for transport – Frequently asked questions." European Commission. January 24, 2013. &lt;http://europa.eu/rapid/press-release_MEMO-13-24_en.htm&gt;.</w:t>
      </w:r>
    </w:p>
    <w:p w:rsidR="00831841" w:rsidRPr="005A7A48" w:rsidRDefault="00831841" w:rsidP="00424E17">
      <w:pPr>
        <w:pStyle w:val="FootnoteText"/>
        <w:spacing w:after="240" w:line="276" w:lineRule="auto"/>
        <w:ind w:left="720" w:hanging="720"/>
        <w:rPr>
          <w:rFonts w:cs="Arial"/>
          <w:sz w:val="22"/>
          <w:szCs w:val="22"/>
        </w:rPr>
      </w:pPr>
      <w:r w:rsidRPr="005A7A48">
        <w:rPr>
          <w:rFonts w:cs="Arial"/>
          <w:sz w:val="22"/>
          <w:szCs w:val="22"/>
        </w:rPr>
        <w:t>Europia. (2011). “2011 Annual Report.” European Petroleum Industry Association. 2011. &lt;https://www.europia.eu/content/default.asp?PageID=412&amp;DocID=35264&gt;.</w:t>
      </w:r>
    </w:p>
    <w:p w:rsidR="001B134F" w:rsidRPr="005A7A48" w:rsidRDefault="001B134F" w:rsidP="00424E17">
      <w:pPr>
        <w:pStyle w:val="FootnoteText"/>
        <w:spacing w:after="240" w:line="276" w:lineRule="auto"/>
        <w:ind w:left="720" w:hanging="720"/>
        <w:rPr>
          <w:rFonts w:cs="Arial"/>
          <w:sz w:val="22"/>
          <w:szCs w:val="22"/>
        </w:rPr>
      </w:pPr>
      <w:r w:rsidRPr="005A7A48">
        <w:rPr>
          <w:rFonts w:cs="Arial"/>
          <w:sz w:val="22"/>
          <w:szCs w:val="22"/>
        </w:rPr>
        <w:lastRenderedPageBreak/>
        <w:t xml:space="preserve">Exergia. </w:t>
      </w:r>
      <w:r w:rsidR="0074421C" w:rsidRPr="005A7A48">
        <w:rPr>
          <w:rFonts w:cs="Arial"/>
          <w:sz w:val="22"/>
          <w:szCs w:val="22"/>
        </w:rPr>
        <w:t xml:space="preserve">(2012). </w:t>
      </w:r>
      <w:r w:rsidRPr="005A7A48">
        <w:rPr>
          <w:rFonts w:cs="Arial"/>
          <w:sz w:val="22"/>
          <w:szCs w:val="22"/>
        </w:rPr>
        <w:t>"Assessment of the implementation of a European alternative fuels strategy and possible supportive proposals." Produced by Exergia, Energy and Environment Consultants for the European Commission. August 10, 2012. &lt;http://ec.europa.eu/transport/themes/urban/studies/doc/2012-08-cts-implementation-study.pdf&gt;.</w:t>
      </w:r>
    </w:p>
    <w:p w:rsidR="00424E17" w:rsidRPr="005A7A48" w:rsidRDefault="0099604E" w:rsidP="00424E17">
      <w:pPr>
        <w:pStyle w:val="FootnoteText"/>
        <w:spacing w:after="240" w:line="276" w:lineRule="auto"/>
        <w:ind w:left="720" w:hanging="720"/>
        <w:rPr>
          <w:rFonts w:cs="Arial"/>
          <w:sz w:val="22"/>
          <w:szCs w:val="22"/>
        </w:rPr>
      </w:pPr>
      <w:r w:rsidRPr="005A7A48">
        <w:rPr>
          <w:rFonts w:cs="Arial"/>
          <w:sz w:val="22"/>
          <w:szCs w:val="22"/>
        </w:rPr>
        <w:t xml:space="preserve">Frayssinet, </w:t>
      </w:r>
      <w:r w:rsidR="00424E17" w:rsidRPr="005A7A48">
        <w:rPr>
          <w:rFonts w:cs="Arial"/>
          <w:sz w:val="22"/>
          <w:szCs w:val="22"/>
        </w:rPr>
        <w:t xml:space="preserve">Fabiana. (2009). “TRANSPORT-BRAZIL: Recharge Your Batteries Here.” Inter Press Service News Agency. July 6, 2009. &lt;http://www.ipsnews.net/2009/07/transport-brazil-recharge-your-batteries-here/&gt;. </w:t>
      </w:r>
    </w:p>
    <w:p w:rsidR="00424E17" w:rsidRPr="005A7A48" w:rsidRDefault="00424E17" w:rsidP="00424E17">
      <w:pPr>
        <w:pStyle w:val="FootnoteText"/>
        <w:spacing w:after="240" w:line="276" w:lineRule="auto"/>
        <w:ind w:left="720" w:hanging="720"/>
        <w:rPr>
          <w:rFonts w:cs="Arial"/>
          <w:sz w:val="22"/>
          <w:szCs w:val="22"/>
        </w:rPr>
      </w:pPr>
      <w:r w:rsidRPr="005A7A48">
        <w:rPr>
          <w:rFonts w:cs="Arial"/>
          <w:sz w:val="22"/>
          <w:szCs w:val="22"/>
        </w:rPr>
        <w:t>Frondel, Manuel, Nolan Ritter, Christoph M. Schmidt, and Colin Vance. (2010). “Economic Impacts from the Promotion of Renewable Energy Technologies: The German Experience.” Energy Policy. Volume 38, Issue 8, pp. 4048-4056. August 2010.</w:t>
      </w:r>
    </w:p>
    <w:p w:rsidR="009B375A" w:rsidRPr="005A7A48" w:rsidRDefault="009B375A" w:rsidP="00424E17">
      <w:pPr>
        <w:pStyle w:val="FootnoteText"/>
        <w:spacing w:after="240" w:line="276" w:lineRule="auto"/>
        <w:ind w:left="720" w:hanging="720"/>
        <w:rPr>
          <w:rFonts w:cs="Arial"/>
          <w:sz w:val="22"/>
          <w:szCs w:val="22"/>
        </w:rPr>
      </w:pPr>
      <w:r w:rsidRPr="005A7A48">
        <w:rPr>
          <w:rFonts w:cs="Arial"/>
          <w:sz w:val="22"/>
          <w:szCs w:val="22"/>
        </w:rPr>
        <w:t>Galston, William A. and Korin Davis. (2012). "Setting Priorities, Meeting Needs: The Case for a National Infrastructure Bank." Brookings Institute. December 13, 2012. &lt;http://www.brookings.edu/~/media/research/files/papers/2012/12/13%20infrastructure%20galston%20davis/1213_infrastructure_galston_davis.pdf&gt;.</w:t>
      </w:r>
    </w:p>
    <w:p w:rsidR="00524293" w:rsidRPr="005A7A48" w:rsidRDefault="00524293" w:rsidP="00424E17">
      <w:pPr>
        <w:pStyle w:val="FootnoteText"/>
        <w:spacing w:after="240" w:line="276" w:lineRule="auto"/>
        <w:ind w:left="720" w:hanging="720"/>
        <w:rPr>
          <w:rFonts w:cs="Arial"/>
          <w:sz w:val="22"/>
          <w:szCs w:val="22"/>
        </w:rPr>
      </w:pPr>
      <w:r w:rsidRPr="005A7A48">
        <w:rPr>
          <w:rFonts w:cs="Arial"/>
          <w:sz w:val="22"/>
          <w:szCs w:val="22"/>
        </w:rPr>
        <w:t>GAO. (2006). “Highway Finance: States’ Expanding Use of Tolling Illustrates Diverse Challenges and Strategies.” GAO-06-554. United States Government Accountability Office. June 2006. &lt;http://www.gao.gov/assets/260/250670.pdf&gt;.</w:t>
      </w:r>
    </w:p>
    <w:p w:rsidR="00424E17" w:rsidRPr="005A7A48" w:rsidRDefault="00424E17" w:rsidP="00424E17">
      <w:pPr>
        <w:pStyle w:val="FootnoteText"/>
        <w:spacing w:after="240" w:line="276" w:lineRule="auto"/>
        <w:ind w:left="720" w:hanging="720"/>
        <w:rPr>
          <w:rFonts w:cs="Arial"/>
          <w:sz w:val="22"/>
          <w:szCs w:val="22"/>
        </w:rPr>
      </w:pPr>
      <w:r w:rsidRPr="005A7A48">
        <w:rPr>
          <w:rFonts w:cs="Arial"/>
          <w:sz w:val="22"/>
          <w:szCs w:val="22"/>
        </w:rPr>
        <w:t>Garten Rothkopf. (2007) “A Blueprint for Green Energy in the Americas.” Prepared for the Inter-American Development Bank. April 2, 2007. &lt;http://www.aladda.com/trabajos/Interdevelopment3Bank2Bio0Fuels.pdf&gt;.</w:t>
      </w:r>
    </w:p>
    <w:p w:rsidR="008E6A4D" w:rsidRPr="005A7A48" w:rsidRDefault="008E6A4D" w:rsidP="00424E17">
      <w:pPr>
        <w:pStyle w:val="FootnoteText"/>
        <w:spacing w:after="240" w:line="276" w:lineRule="auto"/>
        <w:ind w:left="720" w:hanging="720"/>
        <w:rPr>
          <w:rFonts w:cs="Arial"/>
          <w:sz w:val="22"/>
          <w:szCs w:val="22"/>
        </w:rPr>
      </w:pPr>
      <w:r w:rsidRPr="005A7A48">
        <w:rPr>
          <w:rFonts w:cs="Arial"/>
          <w:sz w:val="22"/>
          <w:szCs w:val="22"/>
        </w:rPr>
        <w:t>GE. (2012). “GE Researchers Developing At-Home Refueling Station for NG Vehicles.” General Electric. July 18, 2012. &lt;http://www.genewscenter.com/Press-Releases/GE-Researchers-Developing-At-Home-Refueling-Station-for-NG-Vehicles-39c7.aspx&gt;.</w:t>
      </w:r>
    </w:p>
    <w:p w:rsidR="000C752C" w:rsidRPr="005A7A48" w:rsidRDefault="000C752C" w:rsidP="00424E17">
      <w:pPr>
        <w:pStyle w:val="FootnoteText"/>
        <w:spacing w:after="240" w:line="276" w:lineRule="auto"/>
        <w:ind w:left="720" w:hanging="720"/>
        <w:rPr>
          <w:rFonts w:cs="Arial"/>
          <w:sz w:val="22"/>
          <w:szCs w:val="22"/>
        </w:rPr>
      </w:pPr>
      <w:r w:rsidRPr="005A7A48">
        <w:rPr>
          <w:rFonts w:cs="Arial"/>
          <w:sz w:val="22"/>
          <w:szCs w:val="22"/>
        </w:rPr>
        <w:t>GFEI. (2013). “Cleaner, More Efficient Vehicles.” Global Fuel Economy Initiative. Accessed March 20, 2013. &lt;http://www.unep.org/transport/gfei/autotool/index.asp&gt;.</w:t>
      </w:r>
    </w:p>
    <w:p w:rsidR="00424E17" w:rsidRPr="005A7A48" w:rsidRDefault="00424E17" w:rsidP="00424E17">
      <w:pPr>
        <w:pStyle w:val="FootnoteText"/>
        <w:spacing w:after="240" w:line="276" w:lineRule="auto"/>
        <w:ind w:left="720" w:hanging="720"/>
        <w:rPr>
          <w:rFonts w:cs="Arial"/>
          <w:sz w:val="22"/>
          <w:szCs w:val="22"/>
        </w:rPr>
      </w:pPr>
      <w:r w:rsidRPr="005A7A48">
        <w:rPr>
          <w:rFonts w:cs="Arial"/>
          <w:sz w:val="22"/>
          <w:szCs w:val="22"/>
        </w:rPr>
        <w:t>Gordon-Bloomfield, Nikki. (2012). “U.S. Car Buyers Like Hybrids, Europeans Go For Diesels; Why?” Green Car Reports. September 26, 2012. &lt;http://www.greencarreports.com/news/1079415_u-s-car-buyers-like-hybrids-europeans-go-for-diesels-why&gt;.</w:t>
      </w:r>
    </w:p>
    <w:p w:rsidR="004D674E" w:rsidRPr="005A7A48" w:rsidRDefault="004D674E" w:rsidP="00424E17">
      <w:pPr>
        <w:pStyle w:val="FootnoteText"/>
        <w:spacing w:after="240" w:line="276" w:lineRule="auto"/>
        <w:ind w:left="720" w:hanging="720"/>
        <w:rPr>
          <w:rFonts w:cs="Arial"/>
          <w:sz w:val="22"/>
          <w:szCs w:val="22"/>
        </w:rPr>
      </w:pPr>
      <w:r w:rsidRPr="005A7A48">
        <w:rPr>
          <w:rFonts w:cs="Arial"/>
          <w:sz w:val="22"/>
          <w:szCs w:val="22"/>
        </w:rPr>
        <w:t>Green Car Congress. (2012). “China publishes plan to boost fuel-efficient and new energy vehicles and domestic auto-industry; targeting 500k PHEVs and EVs in 2015, rising to 2M by 2020.” July 9, 2012. &lt;http://www.greencarcongress.com/2012/07/china-20120709.html&gt;.</w:t>
      </w:r>
    </w:p>
    <w:p w:rsidR="009957C4" w:rsidRPr="005A7A48" w:rsidRDefault="009957C4" w:rsidP="00424E17">
      <w:pPr>
        <w:pStyle w:val="FootnoteText"/>
        <w:spacing w:after="240" w:line="276" w:lineRule="auto"/>
        <w:ind w:left="720" w:hanging="720"/>
        <w:rPr>
          <w:rFonts w:cs="Arial"/>
          <w:sz w:val="22"/>
          <w:szCs w:val="22"/>
        </w:rPr>
      </w:pPr>
      <w:r w:rsidRPr="005A7A48">
        <w:rPr>
          <w:rFonts w:cs="Arial"/>
          <w:sz w:val="22"/>
          <w:szCs w:val="22"/>
        </w:rPr>
        <w:t>Greene, David L. (1990). “Fuel Choice for Multi-Fuel Vehicles.” Contemporary Economic Policy. Volume 8, Issue 4, pp. 118-137. October 1990.</w:t>
      </w:r>
    </w:p>
    <w:p w:rsidR="00763AB6" w:rsidRPr="005A7A48" w:rsidRDefault="00763AB6" w:rsidP="00424E17">
      <w:pPr>
        <w:pStyle w:val="FootnoteText"/>
        <w:spacing w:after="240" w:line="276" w:lineRule="auto"/>
        <w:ind w:left="720" w:hanging="720"/>
        <w:rPr>
          <w:rFonts w:cs="Arial"/>
          <w:sz w:val="22"/>
          <w:szCs w:val="22"/>
        </w:rPr>
      </w:pPr>
      <w:r w:rsidRPr="005A7A48">
        <w:rPr>
          <w:rFonts w:cs="Arial"/>
          <w:sz w:val="22"/>
          <w:szCs w:val="22"/>
        </w:rPr>
        <w:lastRenderedPageBreak/>
        <w:t xml:space="preserve">Gregorio, David. (2013). “’Skeptical Environmentalist’ Opposes Propping up EU Carbon Credits.” Reuters. March 14, 2013. &lt;http://www.reuters.com/article/2013/03/14/us-eu-carbon-lomborg-idUSBRE92D1DB20130314&gt;. </w:t>
      </w:r>
    </w:p>
    <w:p w:rsidR="00424E17" w:rsidRPr="005A7A48" w:rsidRDefault="00424E17" w:rsidP="00424E17">
      <w:pPr>
        <w:pStyle w:val="FootnoteText"/>
        <w:spacing w:after="240" w:line="276" w:lineRule="auto"/>
        <w:ind w:left="720" w:hanging="720"/>
        <w:rPr>
          <w:rFonts w:cs="Arial"/>
          <w:sz w:val="22"/>
          <w:szCs w:val="22"/>
        </w:rPr>
      </w:pPr>
      <w:r w:rsidRPr="005A7A48">
        <w:rPr>
          <w:rFonts w:cs="Arial"/>
          <w:sz w:val="22"/>
          <w:szCs w:val="22"/>
        </w:rPr>
        <w:t>Hard, Mikael and Andrew Jamison. (1997). “Alternative Cars: The Contrasting Stories of Steam and Diesel Automotive Engines.” Technology in Society. Volume 19, Number 2, pp. 145-160. April 1997.</w:t>
      </w:r>
    </w:p>
    <w:p w:rsidR="00CC59D3" w:rsidRPr="005A7A48" w:rsidRDefault="00CC59D3" w:rsidP="00424E17">
      <w:pPr>
        <w:pStyle w:val="FootnoteText"/>
        <w:spacing w:after="240" w:line="276" w:lineRule="auto"/>
        <w:ind w:left="720" w:hanging="720"/>
        <w:rPr>
          <w:rFonts w:cs="Arial"/>
          <w:sz w:val="22"/>
          <w:szCs w:val="22"/>
        </w:rPr>
      </w:pPr>
      <w:r w:rsidRPr="005A7A48">
        <w:rPr>
          <w:rFonts w:cs="Arial"/>
          <w:sz w:val="22"/>
          <w:szCs w:val="22"/>
        </w:rPr>
        <w:t>Heintz, James, Robert Pollin, and Heidi Garrett-Peltier. (2009). “How Infrastructure Investments Support the U.S. Economy: Employment, Productivity, and Growth.” Political Economy Research Institute (PERI), University of Massachusetts-Amherst. January 16, 2009. Page 3. &lt;http://www.peri.umass.edu/fileadmin/pdf/other_publication_types/green_economics/PERI_Infrastructure_Investments&gt;.</w:t>
      </w:r>
    </w:p>
    <w:p w:rsidR="00A27E2B" w:rsidRPr="005A7A48" w:rsidRDefault="00A27E2B" w:rsidP="00424E17">
      <w:pPr>
        <w:pStyle w:val="FootnoteText"/>
        <w:spacing w:after="240" w:line="276" w:lineRule="auto"/>
        <w:ind w:left="720" w:hanging="720"/>
        <w:rPr>
          <w:rFonts w:cs="Arial"/>
          <w:sz w:val="22"/>
          <w:szCs w:val="22"/>
        </w:rPr>
      </w:pPr>
      <w:r w:rsidRPr="005A7A48">
        <w:rPr>
          <w:rFonts w:cs="Arial"/>
          <w:sz w:val="22"/>
          <w:szCs w:val="22"/>
        </w:rPr>
        <w:t>Hill, Kim, Bernard Swiecki, Deb Menk, Joshua Cregger, and Michael Schultz. (2013). “Economic Contribution of the Ford Motor Company Michigan Assembly Plant to the Michigan Economy.” Center for Automotive Research. Prepared for Michigan Economic Development Corporation and Ford Motor Company. March 2013. &lt;http://www.cargroup.org/?module=Publications&amp;event=View&amp;pubID=99&gt;.</w:t>
      </w:r>
    </w:p>
    <w:p w:rsidR="004F1CED" w:rsidRPr="005A7A48" w:rsidRDefault="004F1CED" w:rsidP="00424E17">
      <w:pPr>
        <w:pStyle w:val="FootnoteText"/>
        <w:spacing w:after="240" w:line="276" w:lineRule="auto"/>
        <w:ind w:left="720" w:hanging="720"/>
        <w:rPr>
          <w:rFonts w:cs="Arial"/>
          <w:sz w:val="22"/>
          <w:szCs w:val="22"/>
        </w:rPr>
      </w:pPr>
      <w:r w:rsidRPr="005A7A48">
        <w:rPr>
          <w:rFonts w:cs="Arial"/>
          <w:sz w:val="22"/>
          <w:szCs w:val="22"/>
        </w:rPr>
        <w:t>Hill, Kim and Joshua Cregger. (2011). “Deployment Rollout Estimate of Electric Vehicles 2011-2015.” Center for Automotive Research. January 2011. &lt;http://www.cargroup.org/?module=Publications&amp;event=View&amp;pubID=12&gt;.</w:t>
      </w:r>
    </w:p>
    <w:p w:rsidR="00F62F5B" w:rsidRPr="005A7A48" w:rsidRDefault="00F62F5B" w:rsidP="00424E17">
      <w:pPr>
        <w:pStyle w:val="FootnoteText"/>
        <w:spacing w:after="240" w:line="276" w:lineRule="auto"/>
        <w:ind w:left="720" w:hanging="720"/>
        <w:rPr>
          <w:rFonts w:cs="Arial"/>
          <w:sz w:val="22"/>
          <w:szCs w:val="22"/>
        </w:rPr>
      </w:pPr>
      <w:r w:rsidRPr="005A7A48">
        <w:rPr>
          <w:rFonts w:cs="Arial"/>
          <w:sz w:val="22"/>
          <w:szCs w:val="22"/>
        </w:rPr>
        <w:t xml:space="preserve">Honda. (2013). “FCX Clarity Refueling.” </w:t>
      </w:r>
      <w:r w:rsidR="00E87435" w:rsidRPr="005A7A48">
        <w:rPr>
          <w:rFonts w:cs="Arial"/>
          <w:sz w:val="22"/>
          <w:szCs w:val="22"/>
        </w:rPr>
        <w:t xml:space="preserve">American Honda Motor Co., Inc. </w:t>
      </w:r>
      <w:r w:rsidRPr="005A7A48">
        <w:rPr>
          <w:rFonts w:cs="Arial"/>
          <w:sz w:val="22"/>
          <w:szCs w:val="22"/>
        </w:rPr>
        <w:t xml:space="preserve">Accessed March </w:t>
      </w:r>
      <w:r w:rsidR="00E87435" w:rsidRPr="005A7A48">
        <w:rPr>
          <w:rFonts w:cs="Arial"/>
          <w:sz w:val="22"/>
          <w:szCs w:val="22"/>
        </w:rPr>
        <w:t>8, 2013. &lt;http://automobiles.honda.com/fcx-clarity/refueling.aspx&gt;.</w:t>
      </w:r>
    </w:p>
    <w:p w:rsidR="00D95E4D" w:rsidRDefault="00D95E4D" w:rsidP="00424E17">
      <w:pPr>
        <w:pStyle w:val="FootnoteText"/>
        <w:spacing w:after="240" w:line="276" w:lineRule="auto"/>
        <w:ind w:left="720" w:hanging="720"/>
        <w:rPr>
          <w:rFonts w:cs="Arial"/>
          <w:sz w:val="22"/>
          <w:szCs w:val="22"/>
        </w:rPr>
      </w:pPr>
      <w:r w:rsidRPr="00D95E4D">
        <w:rPr>
          <w:rFonts w:cs="Arial"/>
          <w:sz w:val="22"/>
          <w:szCs w:val="22"/>
        </w:rPr>
        <w:t>Huo, Hong, Qiang Zhang, Fei Liu, and Kebin He. (2012). “Climate and Environmental Effects of Electric Vehicles verses Compressed Natural Gas Vehicles in China: A Life-Cycle Analysis at Provincial Level.” Environmental Science &amp; Technology. Volume 47, Issue 3, pp. 1711-1718. February 2013.</w:t>
      </w:r>
    </w:p>
    <w:p w:rsidR="00424E17" w:rsidRPr="005A7A48" w:rsidRDefault="00424E17" w:rsidP="00424E17">
      <w:pPr>
        <w:pStyle w:val="FootnoteText"/>
        <w:spacing w:after="240" w:line="276" w:lineRule="auto"/>
        <w:ind w:left="720" w:hanging="720"/>
        <w:rPr>
          <w:rFonts w:cs="Arial"/>
          <w:sz w:val="22"/>
          <w:szCs w:val="22"/>
        </w:rPr>
      </w:pPr>
      <w:r w:rsidRPr="005A7A48">
        <w:rPr>
          <w:rFonts w:cs="Arial"/>
          <w:sz w:val="22"/>
          <w:szCs w:val="22"/>
        </w:rPr>
        <w:t>IEA. (2013). “End Use Petroleum Product Prices and Average Crude Oil Import Costs January 2013.” International Energy Agency. January 2013. &lt;http://www.iea.org/stats/surveys/mps.pdf&gt;.</w:t>
      </w:r>
    </w:p>
    <w:p w:rsidR="00D473F1" w:rsidRPr="005A7A48" w:rsidRDefault="00D473F1" w:rsidP="00424E17">
      <w:pPr>
        <w:pStyle w:val="FootnoteText"/>
        <w:spacing w:after="240" w:line="276" w:lineRule="auto"/>
        <w:ind w:left="720" w:hanging="720"/>
        <w:rPr>
          <w:rFonts w:cs="Arial"/>
          <w:sz w:val="22"/>
          <w:szCs w:val="22"/>
        </w:rPr>
      </w:pPr>
      <w:r w:rsidRPr="005A7A48">
        <w:rPr>
          <w:rFonts w:cs="Arial"/>
          <w:sz w:val="22"/>
          <w:szCs w:val="22"/>
        </w:rPr>
        <w:t>ICCT. (2012). “Global Comparison of Light-Duty Vehicle Fuel Economy and GHG Emissions Standards.” International Council on Clean Transportation. June 2012. &lt;http://www.theicct.org/sites/default/files/info-tools/ICCT_PVStd_June2012_v0.pdf&gt;.</w:t>
      </w:r>
    </w:p>
    <w:p w:rsidR="006024B7" w:rsidRPr="005A7A48" w:rsidRDefault="006024B7" w:rsidP="00424E17">
      <w:pPr>
        <w:pStyle w:val="FootnoteText"/>
        <w:spacing w:after="240" w:line="276" w:lineRule="auto"/>
        <w:ind w:left="720" w:hanging="720"/>
        <w:rPr>
          <w:rFonts w:cs="Arial"/>
          <w:sz w:val="22"/>
          <w:szCs w:val="22"/>
        </w:rPr>
      </w:pPr>
      <w:r w:rsidRPr="005A7A48">
        <w:rPr>
          <w:rFonts w:cs="Arial"/>
          <w:sz w:val="22"/>
          <w:szCs w:val="22"/>
        </w:rPr>
        <w:t>ILLS. (2011). “Green Stimulus Measures.” EC-IILS Joint Discussion Paper Series No. 15. International Institute for Labor Studies, International Labour Organization. November 16, 2011. &lt;http://www.ilo.org/inst/research/addressing-crisis-challenges/discussion-paper-series/WCMS_194185/lang--en/index.htm&gt;.</w:t>
      </w:r>
    </w:p>
    <w:p w:rsidR="00BA42AE" w:rsidRPr="005A7A48" w:rsidRDefault="00BA42AE" w:rsidP="00424E17">
      <w:pPr>
        <w:pStyle w:val="FootnoteText"/>
        <w:spacing w:after="240" w:line="276" w:lineRule="auto"/>
        <w:ind w:left="720" w:hanging="720"/>
        <w:rPr>
          <w:rFonts w:cs="Arial"/>
          <w:sz w:val="22"/>
          <w:szCs w:val="22"/>
        </w:rPr>
      </w:pPr>
      <w:r w:rsidRPr="005A7A48">
        <w:rPr>
          <w:rFonts w:cs="Arial"/>
          <w:sz w:val="22"/>
          <w:szCs w:val="22"/>
        </w:rPr>
        <w:lastRenderedPageBreak/>
        <w:t>IRS. (2013). “Plug-In Electric Drive Vehicle Credit (IRC 30D).” United States Internal Revenue Service. February 5, 2013. &lt;http://www.irs.gov/Businesses/Plug-In-Electric-Vehicle-Credit-(IRC-30-and-IRC-30D)&gt;.</w:t>
      </w:r>
    </w:p>
    <w:p w:rsidR="00424E17" w:rsidRPr="005A7A48" w:rsidRDefault="00424E17" w:rsidP="00424E17">
      <w:pPr>
        <w:pStyle w:val="FootnoteText"/>
        <w:spacing w:after="240" w:line="276" w:lineRule="auto"/>
        <w:ind w:left="720" w:hanging="720"/>
        <w:rPr>
          <w:rFonts w:cs="Arial"/>
          <w:sz w:val="22"/>
          <w:szCs w:val="22"/>
        </w:rPr>
      </w:pPr>
      <w:r w:rsidRPr="005A7A48">
        <w:rPr>
          <w:rFonts w:cs="Arial"/>
          <w:sz w:val="22"/>
          <w:szCs w:val="22"/>
        </w:rPr>
        <w:t>Lemos, William. (2007). “The Brazilian Ethanol Model.” ICIS News. February 5, 2007. &lt;http://www.icis.com/Articles/2007/02/12/4500680/the-brazilian-ethanol-model.html&gt;.</w:t>
      </w:r>
    </w:p>
    <w:p w:rsidR="00424E17" w:rsidRPr="005A7A48" w:rsidRDefault="00424E17" w:rsidP="00424E17">
      <w:pPr>
        <w:pStyle w:val="FootnoteText"/>
        <w:spacing w:after="240" w:line="276" w:lineRule="auto"/>
        <w:ind w:left="720" w:hanging="720"/>
        <w:rPr>
          <w:rFonts w:cs="Arial"/>
          <w:sz w:val="22"/>
          <w:szCs w:val="22"/>
        </w:rPr>
      </w:pPr>
      <w:r w:rsidRPr="005A7A48">
        <w:rPr>
          <w:rFonts w:cs="Arial"/>
          <w:sz w:val="22"/>
          <w:szCs w:val="22"/>
        </w:rPr>
        <w:t xml:space="preserve">Lipp, Judith. (2007). “Lessons for Effective Renewable Electricity Policy from Denmark, Germany, and the </w:t>
      </w:r>
      <w:r w:rsidR="0074421C" w:rsidRPr="005A7A48">
        <w:rPr>
          <w:rFonts w:cs="Arial"/>
          <w:sz w:val="22"/>
          <w:szCs w:val="22"/>
        </w:rPr>
        <w:t>United</w:t>
      </w:r>
      <w:r w:rsidRPr="005A7A48">
        <w:rPr>
          <w:rFonts w:cs="Arial"/>
          <w:sz w:val="22"/>
          <w:szCs w:val="22"/>
        </w:rPr>
        <w:t xml:space="preserve"> Kingdom.” Energy Policy. Volume 35, Issue 11, pp. 5481-5495. November 2007.</w:t>
      </w:r>
    </w:p>
    <w:p w:rsidR="00FB6F9E" w:rsidRPr="005A7A48" w:rsidRDefault="00FB6F9E" w:rsidP="00424E17">
      <w:pPr>
        <w:pStyle w:val="FootnoteText"/>
        <w:spacing w:after="240" w:line="276" w:lineRule="auto"/>
        <w:ind w:left="720" w:hanging="720"/>
        <w:rPr>
          <w:rFonts w:cs="Arial"/>
          <w:sz w:val="22"/>
          <w:szCs w:val="22"/>
        </w:rPr>
      </w:pPr>
      <w:r w:rsidRPr="005A7A48">
        <w:rPr>
          <w:rFonts w:cs="Arial"/>
          <w:sz w:val="22"/>
          <w:szCs w:val="22"/>
        </w:rPr>
        <w:t>LMC. (2013). “Global Hybrid and EV Forecast Q4 2012.” LMC Automotive Ltd. January 2013.</w:t>
      </w:r>
    </w:p>
    <w:p w:rsidR="007F2B21" w:rsidRPr="005A7A48" w:rsidRDefault="007F2B21" w:rsidP="00424E17">
      <w:pPr>
        <w:pStyle w:val="FootnoteText"/>
        <w:spacing w:after="240" w:line="276" w:lineRule="auto"/>
        <w:ind w:left="720" w:hanging="720"/>
        <w:rPr>
          <w:rFonts w:cs="Arial"/>
          <w:sz w:val="22"/>
          <w:szCs w:val="22"/>
        </w:rPr>
      </w:pPr>
      <w:r w:rsidRPr="005A7A48">
        <w:rPr>
          <w:rFonts w:cs="Arial"/>
          <w:sz w:val="22"/>
          <w:szCs w:val="22"/>
        </w:rPr>
        <w:t>Market Watch. (2013). “ICE ECX EUA Futures.” Market Watch, Wall Street Journal. Accessed March 20, 2013. &lt;http://www.marketwatch.com/&gt;.</w:t>
      </w:r>
    </w:p>
    <w:p w:rsidR="00D44EFA" w:rsidRPr="005A7A48" w:rsidRDefault="00D44EFA" w:rsidP="00424E17">
      <w:pPr>
        <w:pStyle w:val="FootnoteText"/>
        <w:spacing w:after="240" w:line="276" w:lineRule="auto"/>
        <w:ind w:left="720" w:hanging="720"/>
        <w:rPr>
          <w:rFonts w:cs="Arial"/>
          <w:sz w:val="22"/>
          <w:szCs w:val="22"/>
        </w:rPr>
      </w:pPr>
      <w:r w:rsidRPr="005A7A48">
        <w:rPr>
          <w:rFonts w:cs="Arial"/>
          <w:sz w:val="22"/>
          <w:szCs w:val="22"/>
        </w:rPr>
        <w:t>Melaina, Marc W. and Michael Penev. (2012). “Hydrogen Refueling Infrastructure Cost Analysis.” National Renewable Energy Laboratory. May 15, 2012. &lt;http://www.hydrogen.energy.gov/pdfs/review12/an020_melaina_2012_o.pdf&gt;.</w:t>
      </w:r>
    </w:p>
    <w:p w:rsidR="004D674E" w:rsidRPr="005A7A48" w:rsidRDefault="004D674E" w:rsidP="00424E17">
      <w:pPr>
        <w:pStyle w:val="FootnoteText"/>
        <w:spacing w:after="240" w:line="276" w:lineRule="auto"/>
        <w:ind w:left="720" w:hanging="720"/>
        <w:rPr>
          <w:rFonts w:cs="Arial"/>
          <w:sz w:val="22"/>
          <w:szCs w:val="22"/>
        </w:rPr>
      </w:pPr>
      <w:r w:rsidRPr="005A7A48">
        <w:rPr>
          <w:rFonts w:cs="Arial"/>
          <w:sz w:val="22"/>
          <w:szCs w:val="22"/>
        </w:rPr>
        <w:t>Meng, Yan. (2011) “China has largest electric vehicle charging network.” People’s Daily Online.</w:t>
      </w:r>
      <w:r w:rsidR="0037255D" w:rsidRPr="005A7A48">
        <w:rPr>
          <w:rFonts w:cs="Arial"/>
          <w:sz w:val="22"/>
          <w:szCs w:val="22"/>
        </w:rPr>
        <w:t xml:space="preserve"> </w:t>
      </w:r>
      <w:r w:rsidRPr="005A7A48">
        <w:rPr>
          <w:rFonts w:cs="Arial"/>
          <w:sz w:val="22"/>
          <w:szCs w:val="22"/>
        </w:rPr>
        <w:t>March 3, 2011. &lt;http://english.peopledaily.com.cn/90001/90778/7307489.html&gt;.</w:t>
      </w:r>
    </w:p>
    <w:p w:rsidR="00424E17" w:rsidRPr="005A7A48" w:rsidRDefault="00424E17" w:rsidP="00424E17">
      <w:pPr>
        <w:pStyle w:val="FootnoteText"/>
        <w:spacing w:after="240" w:line="276" w:lineRule="auto"/>
        <w:ind w:left="720" w:hanging="720"/>
        <w:rPr>
          <w:rFonts w:cs="Arial"/>
          <w:sz w:val="22"/>
          <w:szCs w:val="22"/>
        </w:rPr>
      </w:pPr>
      <w:r w:rsidRPr="005A7A48">
        <w:rPr>
          <w:rFonts w:cs="Arial"/>
          <w:sz w:val="22"/>
          <w:szCs w:val="22"/>
        </w:rPr>
        <w:t>Millard, Peter and Stephan Nielson. (2012). “Brazil Ministry Calls for Return of Ethanol Fuel Blend to 25%.” Bloomberg. October 9, 2012. &lt;http://www.bloomberg.com/news/2012-10-09/brazil-ministry-calls-for-return-of-ethanol-fuel-blend-to-25-.html&gt;.</w:t>
      </w:r>
    </w:p>
    <w:p w:rsidR="00424E17" w:rsidRPr="005A7A48" w:rsidRDefault="00424E17" w:rsidP="00424E17">
      <w:pPr>
        <w:pStyle w:val="FootnoteText"/>
        <w:spacing w:after="240" w:line="276" w:lineRule="auto"/>
        <w:ind w:left="720" w:hanging="720"/>
        <w:rPr>
          <w:rFonts w:cs="Arial"/>
          <w:sz w:val="22"/>
          <w:szCs w:val="22"/>
        </w:rPr>
      </w:pPr>
      <w:r w:rsidRPr="005A7A48">
        <w:rPr>
          <w:rFonts w:cs="Arial"/>
          <w:sz w:val="22"/>
          <w:szCs w:val="22"/>
        </w:rPr>
        <w:t>Mock, Peter. (2012). “European Vehicle Market Statistics: Pocketbook 2012.” The International Council on Clean Transportation. October 29, 2012. &lt; http://www.theicct.org/european-vehicle-market-statistics-2012&gt;.</w:t>
      </w:r>
    </w:p>
    <w:p w:rsidR="00424E17" w:rsidRPr="005A7A48" w:rsidRDefault="00E65DCA" w:rsidP="00424E17">
      <w:pPr>
        <w:pStyle w:val="FootnoteText"/>
        <w:spacing w:after="240" w:line="276" w:lineRule="auto"/>
        <w:ind w:left="720" w:hanging="720"/>
        <w:rPr>
          <w:rFonts w:cs="Arial"/>
          <w:sz w:val="22"/>
          <w:szCs w:val="22"/>
        </w:rPr>
      </w:pPr>
      <w:r w:rsidRPr="005A7A48">
        <w:rPr>
          <w:rFonts w:cs="Arial"/>
          <w:sz w:val="22"/>
          <w:szCs w:val="22"/>
        </w:rPr>
        <w:t>Moriarty, Kristi, Caley Johnson, Ted Sears, and Paul Bergeron</w:t>
      </w:r>
      <w:r w:rsidR="00424E17" w:rsidRPr="005A7A48">
        <w:rPr>
          <w:rFonts w:cs="Arial"/>
          <w:sz w:val="22"/>
          <w:szCs w:val="22"/>
        </w:rPr>
        <w:t>. (2009) “E85 Dispenser Study.” Technical Report NREL/TP-7A2-47142. National Renewable Energy Laboratory. December 2009. &lt;http://www.afdc.energy.gov/pdfs/47172.pdf&gt;.</w:t>
      </w:r>
    </w:p>
    <w:p w:rsidR="008E6A4D" w:rsidRPr="005A7A48" w:rsidRDefault="008E6A4D" w:rsidP="00424E17">
      <w:pPr>
        <w:pStyle w:val="FootnoteText"/>
        <w:spacing w:after="240" w:line="276" w:lineRule="auto"/>
        <w:ind w:left="720" w:hanging="720"/>
        <w:rPr>
          <w:rFonts w:cs="Arial"/>
          <w:sz w:val="22"/>
          <w:szCs w:val="22"/>
        </w:rPr>
      </w:pPr>
      <w:r w:rsidRPr="005A7A48">
        <w:rPr>
          <w:rFonts w:cs="Arial"/>
          <w:sz w:val="22"/>
          <w:szCs w:val="22"/>
        </w:rPr>
        <w:t>Morrow, Kevin, Donald Karner, and James Francfort. (2008). “U.S. Department of Energy Vehicle Technologies Program – Advanced Vehicle Testing Activity: Plug-in Hybrid Electric Vehicle Charging Infrastructure Review.” No. 58517. Battelle Energy Alliance, Idaho National Laboratory. November 2008. &lt;http://avt.inl.gov/pdf/phev/phevInfrastructureReport08.pdf&gt;.</w:t>
      </w:r>
    </w:p>
    <w:p w:rsidR="009A7B32" w:rsidRPr="005A7A48" w:rsidRDefault="009A7B32" w:rsidP="00424E17">
      <w:pPr>
        <w:pStyle w:val="FootnoteText"/>
        <w:spacing w:after="240" w:line="276" w:lineRule="auto"/>
        <w:ind w:left="720" w:hanging="720"/>
        <w:rPr>
          <w:rFonts w:cs="Arial"/>
          <w:sz w:val="22"/>
          <w:szCs w:val="22"/>
        </w:rPr>
      </w:pPr>
      <w:r w:rsidRPr="005A7A48">
        <w:rPr>
          <w:rFonts w:cs="Arial"/>
          <w:sz w:val="22"/>
          <w:szCs w:val="22"/>
        </w:rPr>
        <w:t xml:space="preserve">NAS. (2010). “Transitions to Alternative Transportation Technologies—Plug-in Hybrid Electric Vehicles.” </w:t>
      </w:r>
      <w:r w:rsidR="00386F75" w:rsidRPr="005A7A48">
        <w:rPr>
          <w:rFonts w:cs="Arial"/>
          <w:sz w:val="22"/>
          <w:szCs w:val="22"/>
        </w:rPr>
        <w:t xml:space="preserve">Committee on Assessment of Resource Needs for Fuel Cell and Hydrogen Technologies; National Research Council. </w:t>
      </w:r>
      <w:r w:rsidRPr="005A7A48">
        <w:rPr>
          <w:rFonts w:cs="Arial"/>
          <w:sz w:val="22"/>
          <w:szCs w:val="22"/>
        </w:rPr>
        <w:t>National Academy of Sciences. 2010. &lt;http://www.nap.edu/catalog.php?record_id=12826&gt;.</w:t>
      </w:r>
    </w:p>
    <w:p w:rsidR="00633013" w:rsidRPr="005A7A48" w:rsidRDefault="00633013" w:rsidP="00424E17">
      <w:pPr>
        <w:pStyle w:val="FootnoteText"/>
        <w:spacing w:after="240" w:line="276" w:lineRule="auto"/>
        <w:ind w:left="720" w:hanging="720"/>
        <w:rPr>
          <w:rFonts w:cs="Arial"/>
          <w:sz w:val="22"/>
          <w:szCs w:val="22"/>
        </w:rPr>
      </w:pPr>
      <w:r w:rsidRPr="005A7A48">
        <w:rPr>
          <w:rFonts w:cs="Arial"/>
          <w:sz w:val="22"/>
          <w:szCs w:val="22"/>
        </w:rPr>
        <w:lastRenderedPageBreak/>
        <w:t>NAS. (2013). “Transitions to Alternative Vehicles and Fuels.” Committee on Transitions to Alternative Vehicles and Fuels; Board on Energy and Environmental Systems; Division on Engineering and Physical Sciences; National Research Council. National Academy of Sciences. March 2013. &lt;https://download.nap.edu/catalog.php?record_id=18264&gt;.</w:t>
      </w:r>
    </w:p>
    <w:p w:rsidR="00424E17" w:rsidRPr="005A7A48" w:rsidRDefault="00424E17" w:rsidP="00424E17">
      <w:pPr>
        <w:pStyle w:val="FootnoteText"/>
        <w:spacing w:after="240" w:line="276" w:lineRule="auto"/>
        <w:ind w:left="720" w:hanging="720"/>
        <w:rPr>
          <w:rFonts w:cs="Arial"/>
          <w:sz w:val="22"/>
          <w:szCs w:val="22"/>
        </w:rPr>
      </w:pPr>
      <w:r w:rsidRPr="005A7A48">
        <w:rPr>
          <w:rFonts w:cs="Arial"/>
          <w:sz w:val="22"/>
          <w:szCs w:val="22"/>
        </w:rPr>
        <w:t>NGVA. (2012). “Worldwide NGV</w:t>
      </w:r>
      <w:r w:rsidR="00B64A66" w:rsidRPr="005A7A48">
        <w:rPr>
          <w:rFonts w:cs="Arial"/>
          <w:sz w:val="22"/>
          <w:szCs w:val="22"/>
        </w:rPr>
        <w:t xml:space="preserve"> Statistics.” Natural &amp; B</w:t>
      </w:r>
      <w:r w:rsidRPr="005A7A48">
        <w:rPr>
          <w:rFonts w:cs="Arial"/>
          <w:sz w:val="22"/>
          <w:szCs w:val="22"/>
        </w:rPr>
        <w:t>io Gas Vehicle Association - Europe. December 20, 2012. &lt;http://www.ngvaeurope.eu/worldwide-ngv-statistics&gt;.</w:t>
      </w:r>
    </w:p>
    <w:p w:rsidR="00F42C60" w:rsidRPr="005A7A48" w:rsidRDefault="00F42C60" w:rsidP="00424E17">
      <w:pPr>
        <w:pStyle w:val="FootnoteText"/>
        <w:spacing w:after="240" w:line="276" w:lineRule="auto"/>
        <w:ind w:left="720" w:hanging="720"/>
        <w:rPr>
          <w:rFonts w:cs="Arial"/>
          <w:sz w:val="22"/>
          <w:szCs w:val="22"/>
        </w:rPr>
      </w:pPr>
      <w:r w:rsidRPr="005A7A48">
        <w:rPr>
          <w:rFonts w:cs="Arial"/>
          <w:sz w:val="22"/>
          <w:szCs w:val="22"/>
        </w:rPr>
        <w:t>Nicola, Stephan and Tino Anderson. (2012). “Merkel’s Green Shift Forces Germany to Burn More Coal.” Bloomberg. August 20, 2012. &lt;http://www.bloomberg.com/news/2012-08-19/merkel-s-green-shift-forces-germany-to-burn-more-coal-energy.html&gt;.</w:t>
      </w:r>
    </w:p>
    <w:p w:rsidR="00424E17" w:rsidRPr="005A7A48" w:rsidRDefault="00424E17" w:rsidP="00424E17">
      <w:pPr>
        <w:pStyle w:val="FootnoteText"/>
        <w:spacing w:after="240" w:line="276" w:lineRule="auto"/>
        <w:ind w:left="720" w:hanging="720"/>
        <w:rPr>
          <w:rFonts w:cs="Arial"/>
          <w:sz w:val="22"/>
          <w:szCs w:val="22"/>
        </w:rPr>
      </w:pPr>
      <w:r w:rsidRPr="005A7A48">
        <w:rPr>
          <w:rFonts w:cs="Arial"/>
          <w:sz w:val="22"/>
          <w:szCs w:val="22"/>
        </w:rPr>
        <w:t>Nielsen, Stephan. (2013). “Brazil May Require Electric-Vehicle Charging Stations Next Year.” Bloomberg News. February 25, 2013. &lt;http://www.bloomberg.com/news/2013-02-25/brazil-may-require-electric-vehicle-charging-stations-next-year.html&gt;.</w:t>
      </w:r>
    </w:p>
    <w:p w:rsidR="00424E17" w:rsidRPr="005A7A48" w:rsidRDefault="00424E17" w:rsidP="00424E17">
      <w:pPr>
        <w:pStyle w:val="FootnoteText"/>
        <w:spacing w:after="240" w:line="276" w:lineRule="auto"/>
        <w:ind w:left="720" w:hanging="720"/>
        <w:rPr>
          <w:rFonts w:cs="Arial"/>
          <w:sz w:val="22"/>
          <w:szCs w:val="22"/>
        </w:rPr>
      </w:pPr>
      <w:r w:rsidRPr="005A7A48">
        <w:rPr>
          <w:rFonts w:cs="Arial"/>
          <w:sz w:val="22"/>
          <w:szCs w:val="22"/>
        </w:rPr>
        <w:t>NPC. (2012). “Chapter 5: Infrastructure</w:t>
      </w:r>
      <w:r w:rsidR="00A4230C" w:rsidRPr="005A7A48">
        <w:rPr>
          <w:rFonts w:cs="Arial"/>
          <w:sz w:val="22"/>
          <w:szCs w:val="22"/>
        </w:rPr>
        <w:t>.</w:t>
      </w:r>
      <w:r w:rsidRPr="005A7A48">
        <w:rPr>
          <w:rFonts w:cs="Arial"/>
          <w:sz w:val="22"/>
          <w:szCs w:val="22"/>
        </w:rPr>
        <w:t>” Advancing Technology for America’s Transportation Future. National Petroleum Council. August 11, 2012. &lt;http://www.npc.org/FTF-report-080112/Chapter_5-Infrastructure-021113.pdf&gt;.</w:t>
      </w:r>
    </w:p>
    <w:p w:rsidR="00526484" w:rsidRPr="005A7A48" w:rsidRDefault="00526484" w:rsidP="00424E17">
      <w:pPr>
        <w:pStyle w:val="FootnoteText"/>
        <w:spacing w:after="240" w:line="276" w:lineRule="auto"/>
        <w:ind w:left="720" w:hanging="720"/>
        <w:rPr>
          <w:rFonts w:cs="Arial"/>
          <w:sz w:val="22"/>
          <w:szCs w:val="22"/>
        </w:rPr>
      </w:pPr>
      <w:r w:rsidRPr="005A7A48">
        <w:rPr>
          <w:rFonts w:cs="Arial"/>
          <w:sz w:val="22"/>
          <w:szCs w:val="22"/>
        </w:rPr>
        <w:t>Ogden, Joan and Lorraine Anderson. (2011). “Sustainable Transportation Energy Pathways: A Research Summery for Decision Makers.” Institute of Transportation Studies, University of California, Davis. October 2011. &lt;http://www.steps.ucdavis.edu/steps-book/STEPS%20Book%20%28web%20version%29%20Sept2011.pdf&gt;.</w:t>
      </w:r>
    </w:p>
    <w:p w:rsidR="00BB35C0" w:rsidRPr="005A7A48" w:rsidRDefault="00BB35C0" w:rsidP="00424E17">
      <w:pPr>
        <w:pStyle w:val="FootnoteText"/>
        <w:spacing w:after="240" w:line="276" w:lineRule="auto"/>
        <w:ind w:left="720" w:hanging="720"/>
        <w:rPr>
          <w:rFonts w:cs="Arial"/>
          <w:sz w:val="22"/>
          <w:szCs w:val="22"/>
        </w:rPr>
      </w:pPr>
      <w:r w:rsidRPr="005A7A48">
        <w:rPr>
          <w:rFonts w:cs="Arial"/>
          <w:sz w:val="22"/>
          <w:szCs w:val="22"/>
        </w:rPr>
        <w:t>Perkowski, Jack. (2012). “Natural Gas Vehicles in China.” Forbes. April 13, 2012. &lt;http://www.forbes.com/sites/jackperkowski/2012/04/13/natural-gas-vehicles-in-china/&gt;.</w:t>
      </w:r>
    </w:p>
    <w:p w:rsidR="00424E17" w:rsidRPr="005A7A48" w:rsidRDefault="00424E17" w:rsidP="00424E17">
      <w:pPr>
        <w:pStyle w:val="FootnoteText"/>
        <w:spacing w:after="240" w:line="276" w:lineRule="auto"/>
        <w:ind w:left="720" w:hanging="720"/>
        <w:rPr>
          <w:rFonts w:cs="Arial"/>
          <w:sz w:val="22"/>
          <w:szCs w:val="22"/>
        </w:rPr>
      </w:pPr>
      <w:r w:rsidRPr="005A7A48">
        <w:rPr>
          <w:rFonts w:cs="Arial"/>
          <w:sz w:val="22"/>
          <w:szCs w:val="22"/>
        </w:rPr>
        <w:t>SAE. (2012). “J1772 'combo connector' shown at the 2012 Electric Vehicle Symposium.” Society of Automobile Engineers. May 3, 2012. &lt;http://ev.sae.org/article/11005&gt;.</w:t>
      </w:r>
    </w:p>
    <w:p w:rsidR="00424E17" w:rsidRPr="005A7A48" w:rsidRDefault="00424E17" w:rsidP="00424E17">
      <w:pPr>
        <w:pStyle w:val="FootnoteText"/>
        <w:spacing w:after="240" w:line="276" w:lineRule="auto"/>
        <w:ind w:left="720" w:hanging="720"/>
        <w:rPr>
          <w:rFonts w:cs="Arial"/>
          <w:sz w:val="22"/>
          <w:szCs w:val="22"/>
        </w:rPr>
      </w:pPr>
      <w:r w:rsidRPr="005A7A48">
        <w:rPr>
          <w:rFonts w:cs="Arial"/>
          <w:sz w:val="22"/>
          <w:szCs w:val="22"/>
        </w:rPr>
        <w:t>Schwartz, John. (2013). “Governments Look for New Ways to Pay for Roads and Bridges.” The New York Times. February 14, 2013. &lt;http://www.nytimes.com/2013/02/15/us/looking-for-new-ways-to-pay-for-roads-and-bridges.html?_r=1&amp;&gt;.</w:t>
      </w:r>
    </w:p>
    <w:p w:rsidR="00424E17" w:rsidRPr="005A7A48" w:rsidRDefault="00424E17" w:rsidP="00424E17">
      <w:pPr>
        <w:pStyle w:val="FootnoteText"/>
        <w:spacing w:after="240" w:line="276" w:lineRule="auto"/>
        <w:ind w:left="720" w:hanging="720"/>
        <w:rPr>
          <w:rFonts w:cs="Arial"/>
          <w:sz w:val="22"/>
          <w:szCs w:val="22"/>
        </w:rPr>
      </w:pPr>
      <w:r w:rsidRPr="005A7A48">
        <w:rPr>
          <w:rFonts w:cs="Arial"/>
          <w:sz w:val="22"/>
          <w:szCs w:val="22"/>
        </w:rPr>
        <w:t>Seager, Ashley. “Germany sets shining example in providing a harvest for the world.” The Guardian. July 23, 2007. &lt;http://www.guardian.co.uk/business/2007/jul/23/germany.greenbusiness&gt;.</w:t>
      </w:r>
    </w:p>
    <w:p w:rsidR="00C00BEC" w:rsidRPr="005A7A48" w:rsidRDefault="00C00BEC" w:rsidP="00424E17">
      <w:pPr>
        <w:pStyle w:val="FootnoteText"/>
        <w:spacing w:after="240" w:line="276" w:lineRule="auto"/>
        <w:ind w:left="720" w:hanging="720"/>
        <w:rPr>
          <w:rFonts w:cs="Arial"/>
          <w:sz w:val="22"/>
          <w:szCs w:val="22"/>
        </w:rPr>
      </w:pPr>
      <w:r w:rsidRPr="005A7A48">
        <w:rPr>
          <w:rFonts w:cs="Arial"/>
          <w:sz w:val="22"/>
          <w:szCs w:val="22"/>
        </w:rPr>
        <w:t>SEC. (2011). “Municipal Bonds.” United States Securities and Exchange Commission. January 28, 2011. &lt;http://www.sec.gov/answers/bondmun.htm&gt;.</w:t>
      </w:r>
    </w:p>
    <w:p w:rsidR="000A73EE" w:rsidRPr="000A73EE" w:rsidRDefault="000A73EE" w:rsidP="000A73EE">
      <w:pPr>
        <w:pStyle w:val="FootnoteText"/>
        <w:spacing w:after="240"/>
        <w:ind w:left="720" w:hanging="720"/>
        <w:rPr>
          <w:rFonts w:cs="Arial"/>
          <w:sz w:val="22"/>
          <w:szCs w:val="22"/>
        </w:rPr>
      </w:pPr>
      <w:r w:rsidRPr="000A73EE">
        <w:rPr>
          <w:rFonts w:cs="Arial"/>
          <w:sz w:val="22"/>
          <w:szCs w:val="22"/>
        </w:rPr>
        <w:t>Shepardson, David. (2013). “Automakers ask Supreme Court to take up ethanol challenge.” Detroit News. March 26, 2013. &lt;http://www.detroitnews.com/article/20130326/AUTO01/303260382&gt;.</w:t>
      </w:r>
    </w:p>
    <w:p w:rsidR="008A0124" w:rsidRPr="005A7A48" w:rsidRDefault="008A0124" w:rsidP="00424E17">
      <w:pPr>
        <w:pStyle w:val="FootnoteText"/>
        <w:spacing w:after="240" w:line="276" w:lineRule="auto"/>
        <w:ind w:left="720" w:hanging="720"/>
        <w:rPr>
          <w:rFonts w:cs="Arial"/>
          <w:sz w:val="22"/>
          <w:szCs w:val="22"/>
        </w:rPr>
      </w:pPr>
      <w:r w:rsidRPr="005A7A48">
        <w:rPr>
          <w:rFonts w:cs="Arial"/>
          <w:sz w:val="22"/>
          <w:szCs w:val="22"/>
        </w:rPr>
        <w:lastRenderedPageBreak/>
        <w:t xml:space="preserve">TIAX. (2012). “U.S. and Canadian Natural Gas Vehicle Market Analysis: Compressed Natural Gas Infrastructure, Final Report.” Prepared by TIAX for America’s Natural Gas Alliance. May 2012. &lt;http://www.ngvc.org/pdfs/Anga_Infrastructure_CNG_Full.pdf&gt;. </w:t>
      </w:r>
    </w:p>
    <w:p w:rsidR="00424E17" w:rsidRPr="005A7A48" w:rsidRDefault="00424E17" w:rsidP="00424E17">
      <w:pPr>
        <w:pStyle w:val="FootnoteText"/>
        <w:spacing w:after="240" w:line="276" w:lineRule="auto"/>
        <w:ind w:left="720" w:hanging="720"/>
        <w:rPr>
          <w:rFonts w:cs="Arial"/>
          <w:sz w:val="22"/>
          <w:szCs w:val="22"/>
        </w:rPr>
      </w:pPr>
      <w:r w:rsidRPr="005A7A48">
        <w:rPr>
          <w:rFonts w:cs="Arial"/>
          <w:sz w:val="22"/>
          <w:szCs w:val="22"/>
        </w:rPr>
        <w:t>Transport &amp; Environment. (2011). “Fueling Oil Demand: What Happened to Fuel Taxation in Europe?” European Federation for Transport and Environment. April 2011. &lt;http://www.transportenvironment.org/sites/te/files/media/2011%2004%2013%20fuel%20tax%20report%20final%20merged.pdf&gt;.</w:t>
      </w:r>
    </w:p>
    <w:p w:rsidR="00831841" w:rsidRPr="005A7A48" w:rsidRDefault="00831841" w:rsidP="00424E17">
      <w:pPr>
        <w:pStyle w:val="FootnoteText"/>
        <w:spacing w:after="240" w:line="276" w:lineRule="auto"/>
        <w:ind w:left="720" w:hanging="720"/>
        <w:rPr>
          <w:rFonts w:cs="Arial"/>
          <w:sz w:val="22"/>
          <w:szCs w:val="22"/>
        </w:rPr>
      </w:pPr>
      <w:r w:rsidRPr="005A7A48">
        <w:rPr>
          <w:rFonts w:cs="Arial"/>
          <w:sz w:val="22"/>
          <w:szCs w:val="22"/>
        </w:rPr>
        <w:t>Transport Policy. (2012) “US: Section 177 States.” Transportpolicy.net. November 29, 2012. &lt;http://transportpolicy.net/index.php?title=US:_Section_177_States&gt;.</w:t>
      </w:r>
    </w:p>
    <w:p w:rsidR="00611AD8" w:rsidRPr="005A7A48" w:rsidRDefault="00611AD8" w:rsidP="00424E17">
      <w:pPr>
        <w:pStyle w:val="FootnoteText"/>
        <w:spacing w:after="240" w:line="276" w:lineRule="auto"/>
        <w:ind w:left="720" w:hanging="720"/>
        <w:rPr>
          <w:rFonts w:cs="Arial"/>
          <w:sz w:val="22"/>
          <w:szCs w:val="22"/>
        </w:rPr>
      </w:pPr>
      <w:r w:rsidRPr="005A7A48">
        <w:rPr>
          <w:rFonts w:cs="Arial"/>
          <w:sz w:val="22"/>
          <w:szCs w:val="22"/>
        </w:rPr>
        <w:t>Tudor, Cody, Eric Sprung, Linh Nguyen, and Russ Tatro. (2012). “Plug-In &amp; Hybrid Electric Vehicle Charging Impacts: A Survey of California’s Utility Companies.” California Smart Grid Center . Presented at 2012 IEEE 13th International Conference on Information Reuse &amp; Integration (IRI). August 8-12, 2012.</w:t>
      </w:r>
    </w:p>
    <w:p w:rsidR="00424E17" w:rsidRPr="005A7A48" w:rsidRDefault="00424E17" w:rsidP="00424E17">
      <w:pPr>
        <w:pStyle w:val="FootnoteText"/>
        <w:spacing w:after="240" w:line="276" w:lineRule="auto"/>
        <w:ind w:left="720" w:hanging="720"/>
        <w:rPr>
          <w:rFonts w:cs="Arial"/>
          <w:sz w:val="22"/>
          <w:szCs w:val="22"/>
        </w:rPr>
      </w:pPr>
      <w:r w:rsidRPr="005A7A48">
        <w:rPr>
          <w:rFonts w:cs="Arial"/>
          <w:sz w:val="22"/>
          <w:szCs w:val="22"/>
        </w:rPr>
        <w:t>U.S. Coalition for Advanced Diesel Cars. (2013). “Where is Clean Diesel Available?” U.S. Coalition for Advanced Diesel Cars Website. Accessed February 27, 2013 &lt;http://www.cleandieseldelivers.com/CLEAN%20DIESEL%20101/Where%20is%20Clean%20Diesel%20Fuel%20Available.html&gt;.</w:t>
      </w:r>
    </w:p>
    <w:p w:rsidR="00424E17" w:rsidRPr="005A7A48" w:rsidRDefault="00424E17" w:rsidP="00424E17">
      <w:pPr>
        <w:pStyle w:val="FootnoteText"/>
        <w:spacing w:after="240" w:line="276" w:lineRule="auto"/>
        <w:ind w:left="720" w:hanging="720"/>
        <w:rPr>
          <w:rFonts w:cs="Arial"/>
          <w:sz w:val="22"/>
          <w:szCs w:val="22"/>
        </w:rPr>
      </w:pPr>
      <w:r w:rsidRPr="005A7A48">
        <w:rPr>
          <w:rFonts w:cs="Arial"/>
          <w:sz w:val="22"/>
          <w:szCs w:val="22"/>
        </w:rPr>
        <w:t>USDA. (2006). “The Economic Feasibility of Ethanol Production from Sugar in The United States.” United States Department of Agriculture. July 2006. &lt;http://www.usda.gov/oce/reports/energy/EthanolSugarFeasibilityReport3.pdf&gt;.</w:t>
      </w:r>
    </w:p>
    <w:p w:rsidR="00221BEF" w:rsidRPr="005A7A48" w:rsidRDefault="00221BEF" w:rsidP="00424E17">
      <w:pPr>
        <w:pStyle w:val="FootnoteText"/>
        <w:spacing w:after="240" w:line="276" w:lineRule="auto"/>
        <w:ind w:left="720" w:hanging="720"/>
        <w:rPr>
          <w:rFonts w:cs="Arial"/>
          <w:sz w:val="22"/>
          <w:szCs w:val="22"/>
        </w:rPr>
      </w:pPr>
      <w:r w:rsidRPr="005A7A48">
        <w:rPr>
          <w:rFonts w:cs="Arial"/>
          <w:sz w:val="22"/>
          <w:szCs w:val="22"/>
        </w:rPr>
        <w:t>USDA. (2012). “USDA Grants Support Sustainable Bioenergy Production.” United States Department of Agriculture. Release No. 0360.12. December 14, 2012. &lt;http://www.usda.gov/wps/portal/usda/usdahome?contentid=2012/12/0360.xml&amp;contentidonly=true&gt;.</w:t>
      </w:r>
    </w:p>
    <w:p w:rsidR="00424E17" w:rsidRPr="005A7A48" w:rsidRDefault="00424E17" w:rsidP="00424E17">
      <w:pPr>
        <w:pStyle w:val="FootnoteText"/>
        <w:spacing w:after="240" w:line="276" w:lineRule="auto"/>
        <w:ind w:left="720" w:hanging="720"/>
        <w:rPr>
          <w:rFonts w:cs="Arial"/>
          <w:sz w:val="22"/>
          <w:szCs w:val="22"/>
        </w:rPr>
      </w:pPr>
      <w:r w:rsidRPr="005A7A48">
        <w:rPr>
          <w:rFonts w:cs="Arial"/>
          <w:sz w:val="22"/>
          <w:szCs w:val="22"/>
        </w:rPr>
        <w:t>Wald, Matthew L. (2013). “Using Federal Oil Revenues to Cut America’s Oil Use” The New York Times. February 13, 2013. &lt;http://green.blogs.nytimes.com/2013/02/13/using-federal-oil-revenues-to-cut-americas-oil-use/&gt;.</w:t>
      </w:r>
    </w:p>
    <w:p w:rsidR="00FA1130" w:rsidRPr="005A7A48" w:rsidRDefault="0099604E" w:rsidP="00FA1130">
      <w:pPr>
        <w:pStyle w:val="FootnoteText"/>
        <w:spacing w:after="240"/>
        <w:ind w:left="720" w:hanging="720"/>
        <w:rPr>
          <w:rFonts w:cs="Arial"/>
          <w:sz w:val="22"/>
          <w:szCs w:val="22"/>
        </w:rPr>
      </w:pPr>
      <w:r w:rsidRPr="005A7A48">
        <w:rPr>
          <w:rFonts w:cs="Arial"/>
          <w:sz w:val="22"/>
          <w:szCs w:val="22"/>
        </w:rPr>
        <w:t>Wang, Michael, Kevin Stork, Anant Vyas, Marianne Mintz, Margaret Singh, and Larry</w:t>
      </w:r>
      <w:r w:rsidR="00FA1130" w:rsidRPr="005A7A48">
        <w:rPr>
          <w:rFonts w:cs="Arial"/>
          <w:sz w:val="22"/>
          <w:szCs w:val="22"/>
        </w:rPr>
        <w:t xml:space="preserve"> Johnson. (1997). “Assessment of PNGV Fuels Infrastructure - Phase 1 Report: Additional Capital Needs and Fuel-Cycle Energy and Emissions Impacts.” Center for Transportation Research, Argonne National Laboratory. January 1997. &lt;http://www.osti.gov/bridge/servlets/purl/527447-49UlKS/webviewable/527447.pdf&gt;.</w:t>
      </w:r>
    </w:p>
    <w:p w:rsidR="00424E17" w:rsidRPr="005A7A48" w:rsidRDefault="0099604E" w:rsidP="00FA1130">
      <w:pPr>
        <w:pStyle w:val="FootnoteText"/>
        <w:spacing w:after="240" w:line="276" w:lineRule="auto"/>
        <w:ind w:left="720" w:hanging="720"/>
        <w:rPr>
          <w:rFonts w:cs="Arial"/>
          <w:sz w:val="22"/>
          <w:szCs w:val="22"/>
        </w:rPr>
      </w:pPr>
      <w:r w:rsidRPr="005A7A48">
        <w:rPr>
          <w:rFonts w:cs="Arial"/>
          <w:sz w:val="22"/>
          <w:szCs w:val="22"/>
        </w:rPr>
        <w:t>Wang, Michael, Marianne Mintz, Margaret Singh, Kevin</w:t>
      </w:r>
      <w:r w:rsidR="00FA1130" w:rsidRPr="005A7A48">
        <w:rPr>
          <w:rFonts w:cs="Arial"/>
          <w:sz w:val="22"/>
          <w:szCs w:val="22"/>
        </w:rPr>
        <w:t xml:space="preserve"> Stork, A</w:t>
      </w:r>
      <w:r w:rsidRPr="005A7A48">
        <w:rPr>
          <w:rFonts w:cs="Arial"/>
          <w:sz w:val="22"/>
          <w:szCs w:val="22"/>
        </w:rPr>
        <w:t>nant Vyas, and Larry</w:t>
      </w:r>
      <w:r w:rsidR="00FA1130" w:rsidRPr="005A7A48">
        <w:rPr>
          <w:rFonts w:cs="Arial"/>
          <w:sz w:val="22"/>
          <w:szCs w:val="22"/>
        </w:rPr>
        <w:t xml:space="preserve"> Johnson. (1998). “Assessment of PNGV Fuels Infrastructure - Phase 2 Report: Additional Capital Needs and Fuel-</w:t>
      </w:r>
      <w:r w:rsidR="00FA1130" w:rsidRPr="005A7A48">
        <w:rPr>
          <w:rFonts w:cs="Arial"/>
          <w:sz w:val="22"/>
          <w:szCs w:val="22"/>
        </w:rPr>
        <w:lastRenderedPageBreak/>
        <w:t>Cycle Energy and Emissions Impacts.” Center for Transportation Research, Argonn</w:t>
      </w:r>
      <w:r w:rsidR="00826A9C" w:rsidRPr="005A7A48">
        <w:rPr>
          <w:rFonts w:cs="Arial"/>
          <w:sz w:val="22"/>
          <w:szCs w:val="22"/>
        </w:rPr>
        <w:t>e National Laboratory. April 199</w:t>
      </w:r>
      <w:r w:rsidR="00FA1130" w:rsidRPr="005A7A48">
        <w:rPr>
          <w:rFonts w:cs="Arial"/>
          <w:sz w:val="22"/>
          <w:szCs w:val="22"/>
        </w:rPr>
        <w:t>8. &lt;http://www.ornl.gov/~webworks/cppr/y2003/misc/117881.pdf&gt;.</w:t>
      </w:r>
    </w:p>
    <w:p w:rsidR="00763AB6" w:rsidRPr="005A7A48" w:rsidRDefault="00763AB6" w:rsidP="00424E17">
      <w:pPr>
        <w:pStyle w:val="FootnoteText"/>
        <w:spacing w:after="240" w:line="276" w:lineRule="auto"/>
        <w:ind w:left="720" w:hanging="720"/>
        <w:rPr>
          <w:rFonts w:cs="Arial"/>
          <w:sz w:val="22"/>
          <w:szCs w:val="22"/>
        </w:rPr>
      </w:pPr>
      <w:r w:rsidRPr="005A7A48">
        <w:rPr>
          <w:rFonts w:cs="Arial"/>
          <w:sz w:val="22"/>
          <w:szCs w:val="22"/>
        </w:rPr>
        <w:t xml:space="preserve">Winston, Clifford. (2012). “On the Performance of </w:t>
      </w:r>
      <w:r w:rsidR="003A19B6" w:rsidRPr="005A7A48">
        <w:rPr>
          <w:rFonts w:cs="Arial"/>
          <w:sz w:val="22"/>
          <w:szCs w:val="22"/>
        </w:rPr>
        <w:t>the U.S. Transportation System:</w:t>
      </w:r>
      <w:r w:rsidRPr="005A7A48">
        <w:rPr>
          <w:rFonts w:cs="Arial"/>
          <w:sz w:val="22"/>
          <w:szCs w:val="22"/>
        </w:rPr>
        <w:t xml:space="preserve"> Caution Ahead.” Brookings Institution, October 2012. Forthcoming Paper in the Journal of Economic Literature.</w:t>
      </w:r>
    </w:p>
    <w:p w:rsidR="000A73EE" w:rsidRPr="000A73EE" w:rsidRDefault="00424E17" w:rsidP="000A73EE">
      <w:pPr>
        <w:pStyle w:val="FootnoteText"/>
        <w:spacing w:after="240" w:line="276" w:lineRule="auto"/>
        <w:ind w:left="720" w:hanging="720"/>
        <w:rPr>
          <w:rFonts w:cs="Arial"/>
          <w:sz w:val="22"/>
          <w:szCs w:val="22"/>
        </w:rPr>
      </w:pPr>
      <w:r w:rsidRPr="005A7A48">
        <w:rPr>
          <w:rFonts w:cs="Arial"/>
          <w:sz w:val="22"/>
          <w:szCs w:val="22"/>
        </w:rPr>
        <w:t>Verboven, Frank. (2002). “Quality-Based Price Discrimination and Tax Incidence: Evidence From Gasoline and Diesel Cars.” RAND Journal of Economics. Volume 3, Issu</w:t>
      </w:r>
      <w:r w:rsidR="000A73EE">
        <w:rPr>
          <w:rFonts w:cs="Arial"/>
          <w:sz w:val="22"/>
          <w:szCs w:val="22"/>
        </w:rPr>
        <w:t xml:space="preserve">e 2, pp. 275-297. Summer 2002. </w:t>
      </w:r>
    </w:p>
    <w:p w:rsidR="000A73EE" w:rsidRPr="000A73EE" w:rsidRDefault="000A73EE" w:rsidP="000A73EE">
      <w:pPr>
        <w:pStyle w:val="FootnoteText"/>
        <w:spacing w:after="240"/>
        <w:ind w:left="720" w:hanging="720"/>
        <w:rPr>
          <w:rFonts w:cs="Arial"/>
          <w:sz w:val="22"/>
          <w:szCs w:val="22"/>
        </w:rPr>
      </w:pPr>
      <w:r w:rsidRPr="000A73EE">
        <w:rPr>
          <w:rFonts w:cs="Arial"/>
          <w:sz w:val="22"/>
          <w:szCs w:val="22"/>
        </w:rPr>
        <w:t>Voegele, Erin. (2012). “EPA, DOT finalize fuel efficiency rule, address biofuel comments.” Ethanol Producer Magazine. August 29, 2012. &lt;http://ethanolproducer.com/articles/9070/epa-dot-finalize-fuel-efficiency-rule-address-biofuel-comments&gt;.</w:t>
      </w:r>
    </w:p>
    <w:p w:rsidR="00424E17" w:rsidRPr="005A7A48" w:rsidRDefault="00424E17" w:rsidP="00424E17">
      <w:pPr>
        <w:pStyle w:val="FootnoteText"/>
        <w:spacing w:after="240" w:line="276" w:lineRule="auto"/>
        <w:ind w:left="720" w:hanging="720"/>
        <w:rPr>
          <w:rFonts w:cs="Arial"/>
          <w:sz w:val="22"/>
          <w:szCs w:val="22"/>
        </w:rPr>
      </w:pPr>
      <w:r w:rsidRPr="005A7A48">
        <w:rPr>
          <w:rFonts w:cs="Arial"/>
          <w:sz w:val="22"/>
          <w:szCs w:val="22"/>
        </w:rPr>
        <w:t>Xinhua. (2013). “Beijing unveils preferential policies for electric vehicles.” Xinhua. March 7, 2013. &lt;http://news.xinhuanet.com/english/china/2013-03/07/c_132216404.htm&gt;.</w:t>
      </w:r>
    </w:p>
    <w:p w:rsidR="009F6661" w:rsidRPr="004854A6" w:rsidRDefault="00C12103">
      <w:pPr>
        <w:rPr>
          <w:rFonts w:cs="Arial"/>
          <w:b/>
          <w:sz w:val="24"/>
          <w:szCs w:val="24"/>
        </w:rPr>
      </w:pPr>
      <w:r w:rsidRPr="008720F3">
        <w:rPr>
          <w:rFonts w:cs="Arial"/>
          <w:b/>
          <w:sz w:val="24"/>
          <w:szCs w:val="24"/>
        </w:rPr>
        <w:br w:type="page"/>
      </w:r>
    </w:p>
    <w:p w:rsidR="00C12103" w:rsidRPr="008720F3" w:rsidRDefault="00682BA3" w:rsidP="005A7A48">
      <w:pPr>
        <w:pStyle w:val="Heading1"/>
      </w:pPr>
      <w:bookmarkStart w:id="77" w:name="_Toc352854222"/>
      <w:r w:rsidRPr="008720F3">
        <w:lastRenderedPageBreak/>
        <w:t xml:space="preserve">APPENBDIX A: </w:t>
      </w:r>
      <w:r w:rsidR="00C12103" w:rsidRPr="008720F3">
        <w:t>ABBREVIATIONS</w:t>
      </w:r>
      <w:bookmarkEnd w:id="77"/>
    </w:p>
    <w:tbl>
      <w:tblPr>
        <w:tblStyle w:val="TableGrid"/>
        <w:tblW w:w="9540" w:type="dxa"/>
        <w:tblInd w:w="108" w:type="dxa"/>
        <w:tblLook w:val="04A0" w:firstRow="1" w:lastRow="0" w:firstColumn="1" w:lastColumn="0" w:noHBand="0" w:noVBand="1"/>
      </w:tblPr>
      <w:tblGrid>
        <w:gridCol w:w="2739"/>
        <w:gridCol w:w="6801"/>
      </w:tblGrid>
      <w:tr w:rsidR="00C12103" w:rsidRPr="005A7A48" w:rsidTr="00BB22D2">
        <w:trPr>
          <w:trHeight w:val="295"/>
        </w:trPr>
        <w:tc>
          <w:tcPr>
            <w:tcW w:w="2739" w:type="dxa"/>
          </w:tcPr>
          <w:p w:rsidR="00C12103" w:rsidRPr="005A7A48" w:rsidRDefault="00C12103" w:rsidP="00A535AA">
            <w:pPr>
              <w:rPr>
                <w:rFonts w:cs="Arial"/>
                <w:b/>
                <w:sz w:val="20"/>
                <w:szCs w:val="20"/>
              </w:rPr>
            </w:pPr>
            <w:r w:rsidRPr="005A7A48">
              <w:rPr>
                <w:rFonts w:cs="Arial"/>
                <w:b/>
                <w:sz w:val="20"/>
                <w:szCs w:val="20"/>
              </w:rPr>
              <w:t>Abbreviation</w:t>
            </w:r>
          </w:p>
        </w:tc>
        <w:tc>
          <w:tcPr>
            <w:tcW w:w="6801" w:type="dxa"/>
          </w:tcPr>
          <w:p w:rsidR="00C12103" w:rsidRPr="005A7A48" w:rsidRDefault="00C12103" w:rsidP="00A535AA">
            <w:pPr>
              <w:rPr>
                <w:rFonts w:cs="Arial"/>
                <w:b/>
                <w:sz w:val="20"/>
                <w:szCs w:val="20"/>
              </w:rPr>
            </w:pPr>
            <w:r w:rsidRPr="005A7A48">
              <w:rPr>
                <w:rFonts w:cs="Arial"/>
                <w:b/>
                <w:sz w:val="20"/>
                <w:szCs w:val="20"/>
              </w:rPr>
              <w:t>Term</w:t>
            </w:r>
          </w:p>
        </w:tc>
      </w:tr>
      <w:tr w:rsidR="00784488" w:rsidRPr="005A7A48" w:rsidTr="00BB22D2">
        <w:trPr>
          <w:trHeight w:val="242"/>
        </w:trPr>
        <w:tc>
          <w:tcPr>
            <w:tcW w:w="2739" w:type="dxa"/>
          </w:tcPr>
          <w:p w:rsidR="00784488" w:rsidRPr="005A7A48" w:rsidRDefault="00784488" w:rsidP="00A535AA">
            <w:pPr>
              <w:rPr>
                <w:rFonts w:cs="Arial"/>
                <w:sz w:val="20"/>
                <w:szCs w:val="20"/>
              </w:rPr>
            </w:pPr>
            <w:r w:rsidRPr="005A7A48">
              <w:rPr>
                <w:rFonts w:cs="Arial"/>
                <w:sz w:val="20"/>
                <w:szCs w:val="20"/>
              </w:rPr>
              <w:t>AFV</w:t>
            </w:r>
          </w:p>
        </w:tc>
        <w:tc>
          <w:tcPr>
            <w:tcW w:w="6801" w:type="dxa"/>
          </w:tcPr>
          <w:p w:rsidR="00784488" w:rsidRPr="005A7A48" w:rsidRDefault="00784488" w:rsidP="00A535AA">
            <w:pPr>
              <w:rPr>
                <w:rFonts w:cs="Arial"/>
                <w:sz w:val="20"/>
                <w:szCs w:val="20"/>
              </w:rPr>
            </w:pPr>
            <w:r w:rsidRPr="005A7A48">
              <w:rPr>
                <w:rFonts w:cs="Arial"/>
                <w:sz w:val="20"/>
                <w:szCs w:val="20"/>
              </w:rPr>
              <w:t>alternative fuel vehicle</w:t>
            </w:r>
          </w:p>
        </w:tc>
      </w:tr>
      <w:tr w:rsidR="00BB22D2" w:rsidRPr="005A7A48" w:rsidTr="00BB22D2">
        <w:trPr>
          <w:trHeight w:val="242"/>
        </w:trPr>
        <w:tc>
          <w:tcPr>
            <w:tcW w:w="2739" w:type="dxa"/>
          </w:tcPr>
          <w:p w:rsidR="00BB22D2" w:rsidRPr="005A7A48" w:rsidRDefault="00BB22D2" w:rsidP="00A535AA">
            <w:pPr>
              <w:rPr>
                <w:rFonts w:cs="Arial"/>
                <w:sz w:val="20"/>
                <w:szCs w:val="20"/>
              </w:rPr>
            </w:pPr>
            <w:r w:rsidRPr="005A7A48">
              <w:rPr>
                <w:rFonts w:cs="Arial"/>
                <w:sz w:val="20"/>
                <w:szCs w:val="20"/>
              </w:rPr>
              <w:t>AVTM</w:t>
            </w:r>
          </w:p>
        </w:tc>
        <w:tc>
          <w:tcPr>
            <w:tcW w:w="6801" w:type="dxa"/>
          </w:tcPr>
          <w:p w:rsidR="00BB22D2" w:rsidRPr="005A7A48" w:rsidRDefault="00BB22D2" w:rsidP="00A535AA">
            <w:pPr>
              <w:rPr>
                <w:rFonts w:cs="Arial"/>
                <w:sz w:val="20"/>
                <w:szCs w:val="20"/>
              </w:rPr>
            </w:pPr>
            <w:r w:rsidRPr="005A7A48">
              <w:rPr>
                <w:rFonts w:cs="Arial"/>
                <w:sz w:val="20"/>
                <w:szCs w:val="20"/>
              </w:rPr>
              <w:t>Advanced Technology Vehicles Manufacturing loans (USA)</w:t>
            </w:r>
          </w:p>
        </w:tc>
      </w:tr>
      <w:tr w:rsidR="008E7D78" w:rsidRPr="005A7A48" w:rsidTr="008E7D78">
        <w:trPr>
          <w:trHeight w:val="215"/>
        </w:trPr>
        <w:tc>
          <w:tcPr>
            <w:tcW w:w="2739" w:type="dxa"/>
          </w:tcPr>
          <w:p w:rsidR="008E7D78" w:rsidRPr="005A7A48" w:rsidRDefault="008E7D78" w:rsidP="00A535AA">
            <w:pPr>
              <w:rPr>
                <w:rFonts w:cs="Arial"/>
                <w:sz w:val="20"/>
                <w:szCs w:val="20"/>
              </w:rPr>
            </w:pPr>
            <w:r w:rsidRPr="005A7A48">
              <w:rPr>
                <w:rFonts w:cs="Arial"/>
                <w:sz w:val="20"/>
                <w:szCs w:val="20"/>
              </w:rPr>
              <w:t>B20</w:t>
            </w:r>
          </w:p>
        </w:tc>
        <w:tc>
          <w:tcPr>
            <w:tcW w:w="6801" w:type="dxa"/>
          </w:tcPr>
          <w:p w:rsidR="008E7D78" w:rsidRPr="005A7A48" w:rsidRDefault="008E7D78" w:rsidP="00A535AA">
            <w:pPr>
              <w:rPr>
                <w:rFonts w:cs="Arial"/>
                <w:sz w:val="20"/>
                <w:szCs w:val="20"/>
              </w:rPr>
            </w:pPr>
            <w:r w:rsidRPr="005A7A48">
              <w:rPr>
                <w:rFonts w:cs="Arial"/>
                <w:sz w:val="20"/>
                <w:szCs w:val="20"/>
              </w:rPr>
              <w:t>a blend of biodiesel (20%) and diesel (80%)</w:t>
            </w:r>
          </w:p>
        </w:tc>
      </w:tr>
      <w:tr w:rsidR="00784488" w:rsidRPr="005A7A48" w:rsidTr="00BB22D2">
        <w:trPr>
          <w:trHeight w:val="242"/>
        </w:trPr>
        <w:tc>
          <w:tcPr>
            <w:tcW w:w="2739" w:type="dxa"/>
          </w:tcPr>
          <w:p w:rsidR="00784488" w:rsidRPr="005A7A48" w:rsidRDefault="00784488" w:rsidP="00A535AA">
            <w:pPr>
              <w:rPr>
                <w:rFonts w:cs="Arial"/>
                <w:sz w:val="20"/>
                <w:szCs w:val="20"/>
              </w:rPr>
            </w:pPr>
            <w:r w:rsidRPr="005A7A48">
              <w:rPr>
                <w:rFonts w:cs="Arial"/>
                <w:sz w:val="20"/>
                <w:szCs w:val="20"/>
              </w:rPr>
              <w:t>BEV</w:t>
            </w:r>
          </w:p>
        </w:tc>
        <w:tc>
          <w:tcPr>
            <w:tcW w:w="6801" w:type="dxa"/>
          </w:tcPr>
          <w:p w:rsidR="00784488" w:rsidRPr="005A7A48" w:rsidRDefault="00784488" w:rsidP="00A535AA">
            <w:pPr>
              <w:rPr>
                <w:rFonts w:cs="Arial"/>
                <w:sz w:val="20"/>
                <w:szCs w:val="20"/>
              </w:rPr>
            </w:pPr>
            <w:r w:rsidRPr="005A7A48">
              <w:rPr>
                <w:rFonts w:cs="Arial"/>
                <w:sz w:val="20"/>
                <w:szCs w:val="20"/>
              </w:rPr>
              <w:t>battery electric vehicle</w:t>
            </w:r>
          </w:p>
        </w:tc>
      </w:tr>
      <w:tr w:rsidR="00BB22D2" w:rsidRPr="005A7A48" w:rsidTr="00BB22D2">
        <w:trPr>
          <w:trHeight w:val="242"/>
        </w:trPr>
        <w:tc>
          <w:tcPr>
            <w:tcW w:w="2739" w:type="dxa"/>
          </w:tcPr>
          <w:p w:rsidR="00BB22D2" w:rsidRPr="005A7A48" w:rsidRDefault="00BB22D2" w:rsidP="00A535AA">
            <w:pPr>
              <w:rPr>
                <w:rFonts w:cs="Arial"/>
                <w:sz w:val="20"/>
                <w:szCs w:val="20"/>
              </w:rPr>
            </w:pPr>
            <w:r w:rsidRPr="005A7A48">
              <w:rPr>
                <w:rFonts w:cs="Arial"/>
                <w:sz w:val="20"/>
                <w:szCs w:val="20"/>
              </w:rPr>
              <w:t>BNDES</w:t>
            </w:r>
          </w:p>
        </w:tc>
        <w:tc>
          <w:tcPr>
            <w:tcW w:w="6801" w:type="dxa"/>
          </w:tcPr>
          <w:p w:rsidR="00BB22D2" w:rsidRPr="005A7A48" w:rsidRDefault="00BB22D2" w:rsidP="00A535AA">
            <w:pPr>
              <w:rPr>
                <w:rFonts w:cs="Arial"/>
                <w:sz w:val="20"/>
                <w:szCs w:val="20"/>
              </w:rPr>
            </w:pPr>
            <w:r w:rsidRPr="005A7A48">
              <w:rPr>
                <w:rFonts w:cs="Arial"/>
                <w:sz w:val="20"/>
                <w:szCs w:val="20"/>
              </w:rPr>
              <w:t>Brazilian Development Bank</w:t>
            </w:r>
          </w:p>
        </w:tc>
      </w:tr>
      <w:tr w:rsidR="00784488" w:rsidRPr="005A7A48" w:rsidTr="00BB22D2">
        <w:trPr>
          <w:trHeight w:val="242"/>
        </w:trPr>
        <w:tc>
          <w:tcPr>
            <w:tcW w:w="2739" w:type="dxa"/>
          </w:tcPr>
          <w:p w:rsidR="00784488" w:rsidRPr="005A7A48" w:rsidRDefault="00784488" w:rsidP="00A535AA">
            <w:pPr>
              <w:rPr>
                <w:rFonts w:cs="Arial"/>
                <w:sz w:val="20"/>
                <w:szCs w:val="20"/>
              </w:rPr>
            </w:pPr>
            <w:r w:rsidRPr="005A7A48">
              <w:rPr>
                <w:rFonts w:cs="Arial"/>
                <w:sz w:val="20"/>
                <w:szCs w:val="20"/>
              </w:rPr>
              <w:t>CAFE</w:t>
            </w:r>
          </w:p>
        </w:tc>
        <w:tc>
          <w:tcPr>
            <w:tcW w:w="6801" w:type="dxa"/>
          </w:tcPr>
          <w:p w:rsidR="00784488" w:rsidRPr="005A7A48" w:rsidRDefault="00784488" w:rsidP="00A535AA">
            <w:pPr>
              <w:rPr>
                <w:rFonts w:cs="Arial"/>
                <w:sz w:val="20"/>
                <w:szCs w:val="20"/>
              </w:rPr>
            </w:pPr>
            <w:r w:rsidRPr="005A7A48">
              <w:rPr>
                <w:rFonts w:cs="Arial"/>
                <w:sz w:val="20"/>
                <w:szCs w:val="20"/>
              </w:rPr>
              <w:t>Corporate Average Fuel Economy</w:t>
            </w:r>
            <w:r w:rsidR="00BB22D2" w:rsidRPr="005A7A48">
              <w:rPr>
                <w:rFonts w:cs="Arial"/>
                <w:sz w:val="20"/>
                <w:szCs w:val="20"/>
              </w:rPr>
              <w:t xml:space="preserve"> (USA)</w:t>
            </w:r>
          </w:p>
        </w:tc>
      </w:tr>
      <w:tr w:rsidR="00784488" w:rsidRPr="005A7A48" w:rsidTr="00BB22D2">
        <w:trPr>
          <w:trHeight w:val="295"/>
        </w:trPr>
        <w:tc>
          <w:tcPr>
            <w:tcW w:w="2739" w:type="dxa"/>
          </w:tcPr>
          <w:p w:rsidR="00784488" w:rsidRPr="005A7A48" w:rsidRDefault="00BB22D2" w:rsidP="00A535AA">
            <w:pPr>
              <w:rPr>
                <w:rFonts w:cs="Arial"/>
                <w:sz w:val="20"/>
                <w:szCs w:val="20"/>
              </w:rPr>
            </w:pPr>
            <w:r w:rsidRPr="005A7A48">
              <w:rPr>
                <w:rFonts w:cs="Arial"/>
                <w:sz w:val="20"/>
                <w:szCs w:val="20"/>
              </w:rPr>
              <w:t>CFOR</w:t>
            </w:r>
          </w:p>
        </w:tc>
        <w:tc>
          <w:tcPr>
            <w:tcW w:w="6801" w:type="dxa"/>
          </w:tcPr>
          <w:p w:rsidR="00784488" w:rsidRPr="005A7A48" w:rsidRDefault="00BB22D2" w:rsidP="00A535AA">
            <w:pPr>
              <w:rPr>
                <w:rFonts w:cs="Arial"/>
                <w:sz w:val="20"/>
                <w:szCs w:val="20"/>
              </w:rPr>
            </w:pPr>
            <w:r w:rsidRPr="005A7A48">
              <w:rPr>
                <w:rFonts w:cs="Arial"/>
                <w:sz w:val="20"/>
                <w:szCs w:val="20"/>
              </w:rPr>
              <w:t>Clean Fuels Outlet Regulation (California)</w:t>
            </w:r>
          </w:p>
        </w:tc>
      </w:tr>
      <w:tr w:rsidR="00BB22D2" w:rsidRPr="005A7A48" w:rsidTr="00BB22D2">
        <w:trPr>
          <w:trHeight w:val="295"/>
        </w:trPr>
        <w:tc>
          <w:tcPr>
            <w:tcW w:w="2739" w:type="dxa"/>
          </w:tcPr>
          <w:p w:rsidR="00BB22D2" w:rsidRPr="005A7A48" w:rsidRDefault="00BB22D2" w:rsidP="00E86BAE">
            <w:pPr>
              <w:rPr>
                <w:rFonts w:cs="Arial"/>
                <w:sz w:val="20"/>
                <w:szCs w:val="20"/>
              </w:rPr>
            </w:pPr>
            <w:r w:rsidRPr="005A7A48">
              <w:rPr>
                <w:rFonts w:cs="Arial"/>
                <w:sz w:val="20"/>
                <w:szCs w:val="20"/>
              </w:rPr>
              <w:t>CH</w:t>
            </w:r>
            <w:r w:rsidRPr="005A7A48">
              <w:rPr>
                <w:rFonts w:cs="Arial"/>
                <w:sz w:val="20"/>
                <w:szCs w:val="20"/>
                <w:vertAlign w:val="subscript"/>
              </w:rPr>
              <w:t>4</w:t>
            </w:r>
          </w:p>
        </w:tc>
        <w:tc>
          <w:tcPr>
            <w:tcW w:w="6801" w:type="dxa"/>
          </w:tcPr>
          <w:p w:rsidR="00BB22D2" w:rsidRPr="005A7A48" w:rsidRDefault="00BB22D2" w:rsidP="00E86BAE">
            <w:pPr>
              <w:rPr>
                <w:rFonts w:cs="Arial"/>
                <w:sz w:val="20"/>
                <w:szCs w:val="20"/>
              </w:rPr>
            </w:pPr>
            <w:r w:rsidRPr="005A7A48">
              <w:rPr>
                <w:rFonts w:cs="Arial"/>
                <w:sz w:val="20"/>
                <w:szCs w:val="20"/>
              </w:rPr>
              <w:t>methane</w:t>
            </w:r>
          </w:p>
        </w:tc>
      </w:tr>
      <w:tr w:rsidR="00BB22D2" w:rsidRPr="005A7A48" w:rsidTr="00BB22D2">
        <w:trPr>
          <w:trHeight w:val="295"/>
        </w:trPr>
        <w:tc>
          <w:tcPr>
            <w:tcW w:w="2739" w:type="dxa"/>
          </w:tcPr>
          <w:p w:rsidR="00BB22D2" w:rsidRPr="005A7A48" w:rsidRDefault="00BB22D2" w:rsidP="00E86BAE">
            <w:pPr>
              <w:rPr>
                <w:rFonts w:cs="Arial"/>
                <w:sz w:val="20"/>
                <w:szCs w:val="20"/>
              </w:rPr>
            </w:pPr>
            <w:r w:rsidRPr="005A7A48">
              <w:rPr>
                <w:rFonts w:cs="Arial"/>
                <w:sz w:val="20"/>
                <w:szCs w:val="20"/>
              </w:rPr>
              <w:t>CNG</w:t>
            </w:r>
          </w:p>
        </w:tc>
        <w:tc>
          <w:tcPr>
            <w:tcW w:w="6801" w:type="dxa"/>
          </w:tcPr>
          <w:p w:rsidR="00BB22D2" w:rsidRPr="005A7A48" w:rsidRDefault="00BB22D2" w:rsidP="00E86BAE">
            <w:pPr>
              <w:rPr>
                <w:rFonts w:cs="Arial"/>
                <w:sz w:val="20"/>
                <w:szCs w:val="20"/>
              </w:rPr>
            </w:pPr>
            <w:r w:rsidRPr="005A7A48">
              <w:rPr>
                <w:rFonts w:cs="Arial"/>
                <w:sz w:val="20"/>
                <w:szCs w:val="20"/>
              </w:rPr>
              <w:t>compressed natural gas</w:t>
            </w:r>
          </w:p>
        </w:tc>
      </w:tr>
      <w:tr w:rsidR="00BB22D2" w:rsidRPr="005A7A48" w:rsidTr="00BB22D2">
        <w:trPr>
          <w:trHeight w:val="295"/>
        </w:trPr>
        <w:tc>
          <w:tcPr>
            <w:tcW w:w="2739" w:type="dxa"/>
          </w:tcPr>
          <w:p w:rsidR="00BB22D2" w:rsidRPr="005A7A48" w:rsidRDefault="00BB22D2" w:rsidP="00E86BAE">
            <w:pPr>
              <w:rPr>
                <w:rFonts w:cs="Arial"/>
                <w:sz w:val="20"/>
                <w:szCs w:val="20"/>
              </w:rPr>
            </w:pPr>
            <w:r w:rsidRPr="005A7A48">
              <w:rPr>
                <w:rFonts w:cs="Arial"/>
                <w:sz w:val="20"/>
                <w:szCs w:val="20"/>
              </w:rPr>
              <w:t>CO</w:t>
            </w:r>
            <w:r w:rsidRPr="005A7A48">
              <w:rPr>
                <w:rFonts w:cs="Arial"/>
                <w:sz w:val="20"/>
                <w:szCs w:val="20"/>
                <w:vertAlign w:val="subscript"/>
              </w:rPr>
              <w:t>2</w:t>
            </w:r>
          </w:p>
        </w:tc>
        <w:tc>
          <w:tcPr>
            <w:tcW w:w="6801" w:type="dxa"/>
          </w:tcPr>
          <w:p w:rsidR="00BB22D2" w:rsidRPr="005A7A48" w:rsidRDefault="00BB22D2" w:rsidP="00E86BAE">
            <w:pPr>
              <w:rPr>
                <w:rFonts w:cs="Arial"/>
                <w:sz w:val="20"/>
                <w:szCs w:val="20"/>
              </w:rPr>
            </w:pPr>
            <w:r w:rsidRPr="005A7A48">
              <w:rPr>
                <w:rFonts w:cs="Arial"/>
                <w:sz w:val="20"/>
                <w:szCs w:val="20"/>
              </w:rPr>
              <w:t>carbon dioxide</w:t>
            </w:r>
          </w:p>
        </w:tc>
      </w:tr>
      <w:tr w:rsidR="00BB22D2" w:rsidRPr="005A7A48" w:rsidTr="00BB22D2">
        <w:trPr>
          <w:trHeight w:val="295"/>
        </w:trPr>
        <w:tc>
          <w:tcPr>
            <w:tcW w:w="2739" w:type="dxa"/>
          </w:tcPr>
          <w:p w:rsidR="00BB22D2" w:rsidRPr="005A7A48" w:rsidRDefault="00BB22D2" w:rsidP="00E86BAE">
            <w:pPr>
              <w:rPr>
                <w:rFonts w:cs="Arial"/>
                <w:sz w:val="20"/>
                <w:szCs w:val="20"/>
              </w:rPr>
            </w:pPr>
            <w:r w:rsidRPr="005A7A48">
              <w:rPr>
                <w:rFonts w:cs="Arial"/>
                <w:sz w:val="20"/>
                <w:szCs w:val="20"/>
              </w:rPr>
              <w:t>DOE</w:t>
            </w:r>
          </w:p>
        </w:tc>
        <w:tc>
          <w:tcPr>
            <w:tcW w:w="6801" w:type="dxa"/>
          </w:tcPr>
          <w:p w:rsidR="00BB22D2" w:rsidRPr="005A7A48" w:rsidRDefault="00BB22D2" w:rsidP="00E86BAE">
            <w:pPr>
              <w:rPr>
                <w:rFonts w:cs="Arial"/>
                <w:sz w:val="20"/>
                <w:szCs w:val="20"/>
              </w:rPr>
            </w:pPr>
            <w:r w:rsidRPr="005A7A48">
              <w:rPr>
                <w:rFonts w:cs="Arial"/>
                <w:sz w:val="20"/>
                <w:szCs w:val="20"/>
              </w:rPr>
              <w:t>U.S. Department of Energy</w:t>
            </w:r>
          </w:p>
        </w:tc>
      </w:tr>
      <w:tr w:rsidR="008E7D78" w:rsidRPr="005A7A48" w:rsidTr="00BB22D2">
        <w:trPr>
          <w:trHeight w:val="295"/>
        </w:trPr>
        <w:tc>
          <w:tcPr>
            <w:tcW w:w="2739" w:type="dxa"/>
          </w:tcPr>
          <w:p w:rsidR="008E7D78" w:rsidRPr="005A7A48" w:rsidRDefault="008E7D78" w:rsidP="00E86BAE">
            <w:pPr>
              <w:rPr>
                <w:rFonts w:cs="Arial"/>
                <w:sz w:val="20"/>
                <w:szCs w:val="20"/>
              </w:rPr>
            </w:pPr>
            <w:r w:rsidRPr="005A7A48">
              <w:rPr>
                <w:rFonts w:cs="Arial"/>
                <w:sz w:val="20"/>
                <w:szCs w:val="20"/>
              </w:rPr>
              <w:t>E85</w:t>
            </w:r>
          </w:p>
        </w:tc>
        <w:tc>
          <w:tcPr>
            <w:tcW w:w="6801" w:type="dxa"/>
          </w:tcPr>
          <w:p w:rsidR="008E7D78" w:rsidRPr="005A7A48" w:rsidRDefault="008E7D78" w:rsidP="00E86BAE">
            <w:pPr>
              <w:rPr>
                <w:rFonts w:cs="Arial"/>
                <w:sz w:val="20"/>
                <w:szCs w:val="20"/>
              </w:rPr>
            </w:pPr>
            <w:r w:rsidRPr="005A7A48">
              <w:rPr>
                <w:rFonts w:cs="Arial"/>
                <w:sz w:val="20"/>
                <w:szCs w:val="20"/>
              </w:rPr>
              <w:t>a blend of ethanol (85%) and gasoline (15%)</w:t>
            </w:r>
          </w:p>
        </w:tc>
      </w:tr>
      <w:tr w:rsidR="00BB22D2" w:rsidRPr="005A7A48" w:rsidTr="00BB22D2">
        <w:trPr>
          <w:trHeight w:val="295"/>
        </w:trPr>
        <w:tc>
          <w:tcPr>
            <w:tcW w:w="2739" w:type="dxa"/>
          </w:tcPr>
          <w:p w:rsidR="00BB22D2" w:rsidRPr="005A7A48" w:rsidRDefault="00BB22D2" w:rsidP="00E86BAE">
            <w:pPr>
              <w:rPr>
                <w:rFonts w:cs="Arial"/>
                <w:sz w:val="20"/>
                <w:szCs w:val="20"/>
              </w:rPr>
            </w:pPr>
            <w:r w:rsidRPr="005A7A48">
              <w:rPr>
                <w:rFonts w:cs="Arial"/>
                <w:sz w:val="20"/>
                <w:szCs w:val="20"/>
              </w:rPr>
              <w:t>EEG</w:t>
            </w:r>
          </w:p>
        </w:tc>
        <w:tc>
          <w:tcPr>
            <w:tcW w:w="6801" w:type="dxa"/>
          </w:tcPr>
          <w:p w:rsidR="00BB22D2" w:rsidRPr="005A7A48" w:rsidRDefault="00BB22D2" w:rsidP="00E86BAE">
            <w:pPr>
              <w:rPr>
                <w:rFonts w:cs="Arial"/>
                <w:sz w:val="20"/>
                <w:szCs w:val="20"/>
              </w:rPr>
            </w:pPr>
            <w:r w:rsidRPr="005A7A48">
              <w:rPr>
                <w:rFonts w:cs="Arial"/>
                <w:sz w:val="20"/>
                <w:szCs w:val="20"/>
              </w:rPr>
              <w:t>Renewable Energy Sources Act (Germany)</w:t>
            </w:r>
          </w:p>
        </w:tc>
      </w:tr>
      <w:tr w:rsidR="00BB22D2" w:rsidRPr="005A7A48" w:rsidTr="00BB22D2">
        <w:trPr>
          <w:trHeight w:val="295"/>
        </w:trPr>
        <w:tc>
          <w:tcPr>
            <w:tcW w:w="2739" w:type="dxa"/>
          </w:tcPr>
          <w:p w:rsidR="00BB22D2" w:rsidRPr="005A7A48" w:rsidRDefault="00BB22D2" w:rsidP="00E86BAE">
            <w:pPr>
              <w:rPr>
                <w:rFonts w:cs="Arial"/>
                <w:sz w:val="20"/>
                <w:szCs w:val="20"/>
              </w:rPr>
            </w:pPr>
            <w:r w:rsidRPr="005A7A48">
              <w:rPr>
                <w:rFonts w:cs="Arial"/>
                <w:sz w:val="20"/>
                <w:szCs w:val="20"/>
              </w:rPr>
              <w:t>EIB</w:t>
            </w:r>
          </w:p>
        </w:tc>
        <w:tc>
          <w:tcPr>
            <w:tcW w:w="6801" w:type="dxa"/>
          </w:tcPr>
          <w:p w:rsidR="00BB22D2" w:rsidRPr="005A7A48" w:rsidRDefault="00BB22D2" w:rsidP="00E86BAE">
            <w:pPr>
              <w:rPr>
                <w:rFonts w:cs="Arial"/>
                <w:sz w:val="20"/>
                <w:szCs w:val="20"/>
              </w:rPr>
            </w:pPr>
            <w:r w:rsidRPr="005A7A48">
              <w:rPr>
                <w:rFonts w:cs="Arial"/>
                <w:sz w:val="20"/>
                <w:szCs w:val="20"/>
              </w:rPr>
              <w:t>European Investment Bank</w:t>
            </w:r>
          </w:p>
        </w:tc>
      </w:tr>
      <w:tr w:rsidR="00BB22D2" w:rsidRPr="005A7A48" w:rsidTr="00BB22D2">
        <w:trPr>
          <w:trHeight w:val="295"/>
        </w:trPr>
        <w:tc>
          <w:tcPr>
            <w:tcW w:w="2739" w:type="dxa"/>
          </w:tcPr>
          <w:p w:rsidR="00BB22D2" w:rsidRPr="005A7A48" w:rsidRDefault="00BB22D2" w:rsidP="00E86BAE">
            <w:pPr>
              <w:rPr>
                <w:rFonts w:cs="Arial"/>
                <w:sz w:val="20"/>
                <w:szCs w:val="20"/>
              </w:rPr>
            </w:pPr>
            <w:r w:rsidRPr="005A7A48">
              <w:rPr>
                <w:rFonts w:cs="Arial"/>
                <w:sz w:val="20"/>
                <w:szCs w:val="20"/>
              </w:rPr>
              <w:t>eTec</w:t>
            </w:r>
          </w:p>
        </w:tc>
        <w:tc>
          <w:tcPr>
            <w:tcW w:w="6801" w:type="dxa"/>
          </w:tcPr>
          <w:p w:rsidR="00BB22D2" w:rsidRPr="005A7A48" w:rsidRDefault="00BB22D2" w:rsidP="00E86BAE">
            <w:pPr>
              <w:rPr>
                <w:rFonts w:cs="Arial"/>
                <w:sz w:val="20"/>
                <w:szCs w:val="20"/>
              </w:rPr>
            </w:pPr>
            <w:r w:rsidRPr="005A7A48">
              <w:rPr>
                <w:rFonts w:cs="Arial"/>
                <w:sz w:val="20"/>
                <w:szCs w:val="20"/>
              </w:rPr>
              <w:t>Electric Transportation Engineering Corporation</w:t>
            </w:r>
          </w:p>
        </w:tc>
      </w:tr>
      <w:tr w:rsidR="00BB22D2" w:rsidRPr="005A7A48" w:rsidTr="00BB22D2">
        <w:trPr>
          <w:trHeight w:val="295"/>
        </w:trPr>
        <w:tc>
          <w:tcPr>
            <w:tcW w:w="2739" w:type="dxa"/>
          </w:tcPr>
          <w:p w:rsidR="00BB22D2" w:rsidRPr="005A7A48" w:rsidRDefault="00BB22D2" w:rsidP="00E86BAE">
            <w:pPr>
              <w:rPr>
                <w:rFonts w:cs="Arial"/>
                <w:sz w:val="20"/>
                <w:szCs w:val="20"/>
              </w:rPr>
            </w:pPr>
            <w:r w:rsidRPr="005A7A48">
              <w:rPr>
                <w:rFonts w:cs="Arial"/>
                <w:sz w:val="20"/>
                <w:szCs w:val="20"/>
              </w:rPr>
              <w:t>Flex-fuel</w:t>
            </w:r>
          </w:p>
        </w:tc>
        <w:tc>
          <w:tcPr>
            <w:tcW w:w="6801" w:type="dxa"/>
          </w:tcPr>
          <w:p w:rsidR="00BB22D2" w:rsidRPr="005A7A48" w:rsidRDefault="00BB22D2" w:rsidP="00E86BAE">
            <w:pPr>
              <w:rPr>
                <w:rFonts w:cs="Arial"/>
                <w:sz w:val="20"/>
                <w:szCs w:val="20"/>
              </w:rPr>
            </w:pPr>
            <w:r w:rsidRPr="005A7A48">
              <w:rPr>
                <w:rFonts w:cs="Arial"/>
                <w:sz w:val="20"/>
                <w:szCs w:val="20"/>
              </w:rPr>
              <w:t>flexible fuel</w:t>
            </w:r>
          </w:p>
        </w:tc>
      </w:tr>
      <w:tr w:rsidR="00BB22D2" w:rsidRPr="005A7A48" w:rsidTr="00BB22D2">
        <w:trPr>
          <w:trHeight w:val="295"/>
        </w:trPr>
        <w:tc>
          <w:tcPr>
            <w:tcW w:w="2739" w:type="dxa"/>
          </w:tcPr>
          <w:p w:rsidR="00BB22D2" w:rsidRPr="005A7A48" w:rsidRDefault="00BB22D2" w:rsidP="00E86BAE">
            <w:pPr>
              <w:rPr>
                <w:rFonts w:cs="Arial"/>
                <w:sz w:val="20"/>
                <w:szCs w:val="20"/>
              </w:rPr>
            </w:pPr>
            <w:r w:rsidRPr="005A7A48">
              <w:rPr>
                <w:rFonts w:cs="Arial"/>
                <w:sz w:val="20"/>
                <w:szCs w:val="20"/>
              </w:rPr>
              <w:t>GGE</w:t>
            </w:r>
          </w:p>
        </w:tc>
        <w:tc>
          <w:tcPr>
            <w:tcW w:w="6801" w:type="dxa"/>
          </w:tcPr>
          <w:p w:rsidR="00BB22D2" w:rsidRPr="005A7A48" w:rsidRDefault="00BB22D2" w:rsidP="00E86BAE">
            <w:pPr>
              <w:rPr>
                <w:rFonts w:cs="Arial"/>
                <w:sz w:val="20"/>
                <w:szCs w:val="20"/>
              </w:rPr>
            </w:pPr>
            <w:r w:rsidRPr="005A7A48">
              <w:rPr>
                <w:rFonts w:cs="Arial"/>
                <w:sz w:val="20"/>
                <w:szCs w:val="20"/>
              </w:rPr>
              <w:t>gasoline gallon equivalent</w:t>
            </w:r>
          </w:p>
        </w:tc>
      </w:tr>
      <w:tr w:rsidR="00BB22D2" w:rsidRPr="005A7A48" w:rsidTr="00BB22D2">
        <w:trPr>
          <w:trHeight w:val="295"/>
        </w:trPr>
        <w:tc>
          <w:tcPr>
            <w:tcW w:w="2739" w:type="dxa"/>
          </w:tcPr>
          <w:p w:rsidR="00BB22D2" w:rsidRPr="005A7A48" w:rsidRDefault="00BB22D2" w:rsidP="00E86BAE">
            <w:pPr>
              <w:rPr>
                <w:rFonts w:cs="Arial"/>
                <w:sz w:val="20"/>
                <w:szCs w:val="20"/>
              </w:rPr>
            </w:pPr>
            <w:r w:rsidRPr="005A7A48">
              <w:rPr>
                <w:rFonts w:cs="Arial"/>
                <w:sz w:val="20"/>
                <w:szCs w:val="20"/>
              </w:rPr>
              <w:t>GHG</w:t>
            </w:r>
          </w:p>
        </w:tc>
        <w:tc>
          <w:tcPr>
            <w:tcW w:w="6801" w:type="dxa"/>
          </w:tcPr>
          <w:p w:rsidR="00BB22D2" w:rsidRPr="005A7A48" w:rsidRDefault="00BB22D2" w:rsidP="00E86BAE">
            <w:pPr>
              <w:rPr>
                <w:rFonts w:cs="Arial"/>
                <w:sz w:val="20"/>
                <w:szCs w:val="20"/>
              </w:rPr>
            </w:pPr>
            <w:r w:rsidRPr="005A7A48">
              <w:rPr>
                <w:rFonts w:cs="Arial"/>
                <w:sz w:val="20"/>
                <w:szCs w:val="20"/>
              </w:rPr>
              <w:t>greenhouse gas</w:t>
            </w:r>
          </w:p>
        </w:tc>
      </w:tr>
      <w:tr w:rsidR="00BB22D2" w:rsidRPr="005A7A48" w:rsidTr="00BB22D2">
        <w:trPr>
          <w:trHeight w:val="295"/>
        </w:trPr>
        <w:tc>
          <w:tcPr>
            <w:tcW w:w="2739" w:type="dxa"/>
          </w:tcPr>
          <w:p w:rsidR="00BB22D2" w:rsidRPr="005A7A48" w:rsidRDefault="008E7D78" w:rsidP="00E86BAE">
            <w:pPr>
              <w:rPr>
                <w:rFonts w:cs="Arial"/>
                <w:sz w:val="20"/>
                <w:szCs w:val="20"/>
              </w:rPr>
            </w:pPr>
            <w:r w:rsidRPr="005A7A48">
              <w:rPr>
                <w:rFonts w:cs="Arial"/>
                <w:sz w:val="20"/>
                <w:szCs w:val="20"/>
              </w:rPr>
              <w:t>GWh</w:t>
            </w:r>
          </w:p>
        </w:tc>
        <w:tc>
          <w:tcPr>
            <w:tcW w:w="6801" w:type="dxa"/>
          </w:tcPr>
          <w:p w:rsidR="00BB22D2" w:rsidRPr="005A7A48" w:rsidRDefault="008E7D78" w:rsidP="00E86BAE">
            <w:pPr>
              <w:rPr>
                <w:rFonts w:cs="Arial"/>
                <w:sz w:val="20"/>
                <w:szCs w:val="20"/>
              </w:rPr>
            </w:pPr>
            <w:r w:rsidRPr="005A7A48">
              <w:rPr>
                <w:rFonts w:cs="Arial"/>
                <w:sz w:val="20"/>
                <w:szCs w:val="20"/>
              </w:rPr>
              <w:t>gigawatt-hour</w:t>
            </w:r>
          </w:p>
        </w:tc>
      </w:tr>
      <w:tr w:rsidR="00BB22D2" w:rsidRPr="005A7A48" w:rsidTr="00BB22D2">
        <w:trPr>
          <w:trHeight w:val="295"/>
        </w:trPr>
        <w:tc>
          <w:tcPr>
            <w:tcW w:w="2739" w:type="dxa"/>
          </w:tcPr>
          <w:p w:rsidR="00BB22D2" w:rsidRPr="005A7A48" w:rsidRDefault="00BB22D2" w:rsidP="00E86BAE">
            <w:pPr>
              <w:rPr>
                <w:rFonts w:cs="Arial"/>
                <w:sz w:val="20"/>
                <w:szCs w:val="20"/>
              </w:rPr>
            </w:pPr>
            <w:r w:rsidRPr="005A7A48">
              <w:rPr>
                <w:rFonts w:cs="Arial"/>
                <w:sz w:val="20"/>
                <w:szCs w:val="20"/>
              </w:rPr>
              <w:t>H</w:t>
            </w:r>
            <w:r w:rsidRPr="005A7A48">
              <w:rPr>
                <w:rFonts w:cs="Arial"/>
                <w:sz w:val="20"/>
                <w:szCs w:val="20"/>
                <w:vertAlign w:val="subscript"/>
              </w:rPr>
              <w:t>2</w:t>
            </w:r>
          </w:p>
        </w:tc>
        <w:tc>
          <w:tcPr>
            <w:tcW w:w="6801" w:type="dxa"/>
          </w:tcPr>
          <w:p w:rsidR="00BB22D2" w:rsidRPr="005A7A48" w:rsidRDefault="00BB22D2" w:rsidP="00E86BAE">
            <w:pPr>
              <w:rPr>
                <w:rFonts w:cs="Arial"/>
                <w:sz w:val="20"/>
                <w:szCs w:val="20"/>
              </w:rPr>
            </w:pPr>
            <w:r w:rsidRPr="005A7A48">
              <w:rPr>
                <w:rFonts w:cs="Arial"/>
                <w:sz w:val="20"/>
                <w:szCs w:val="20"/>
              </w:rPr>
              <w:t>hydrogen</w:t>
            </w:r>
          </w:p>
        </w:tc>
      </w:tr>
      <w:tr w:rsidR="00BB22D2" w:rsidRPr="005A7A48" w:rsidTr="00BB22D2">
        <w:trPr>
          <w:trHeight w:val="295"/>
        </w:trPr>
        <w:tc>
          <w:tcPr>
            <w:tcW w:w="2739" w:type="dxa"/>
          </w:tcPr>
          <w:p w:rsidR="00BB22D2" w:rsidRPr="005A7A48" w:rsidRDefault="00BB22D2" w:rsidP="00E86BAE">
            <w:pPr>
              <w:rPr>
                <w:rFonts w:cs="Arial"/>
                <w:sz w:val="20"/>
                <w:szCs w:val="20"/>
              </w:rPr>
            </w:pPr>
            <w:r w:rsidRPr="005A7A48">
              <w:rPr>
                <w:rFonts w:cs="Arial"/>
                <w:sz w:val="20"/>
                <w:szCs w:val="20"/>
              </w:rPr>
              <w:t>H</w:t>
            </w:r>
            <w:r w:rsidRPr="005A7A48">
              <w:rPr>
                <w:rFonts w:cs="Arial"/>
                <w:sz w:val="20"/>
                <w:szCs w:val="20"/>
                <w:vertAlign w:val="subscript"/>
              </w:rPr>
              <w:t>2</w:t>
            </w:r>
            <w:r w:rsidRPr="005A7A48">
              <w:rPr>
                <w:rFonts w:cs="Arial"/>
                <w:sz w:val="20"/>
                <w:szCs w:val="20"/>
              </w:rPr>
              <w:t>O</w:t>
            </w:r>
          </w:p>
        </w:tc>
        <w:tc>
          <w:tcPr>
            <w:tcW w:w="6801" w:type="dxa"/>
          </w:tcPr>
          <w:p w:rsidR="00BB22D2" w:rsidRPr="005A7A48" w:rsidRDefault="00BB22D2" w:rsidP="00E86BAE">
            <w:pPr>
              <w:rPr>
                <w:rFonts w:cs="Arial"/>
                <w:sz w:val="20"/>
                <w:szCs w:val="20"/>
              </w:rPr>
            </w:pPr>
            <w:r w:rsidRPr="005A7A48">
              <w:rPr>
                <w:rFonts w:cs="Arial"/>
                <w:sz w:val="20"/>
                <w:szCs w:val="20"/>
              </w:rPr>
              <w:t>water</w:t>
            </w:r>
          </w:p>
        </w:tc>
      </w:tr>
      <w:tr w:rsidR="00BB22D2" w:rsidRPr="005A7A48" w:rsidTr="00BB22D2">
        <w:trPr>
          <w:trHeight w:val="295"/>
        </w:trPr>
        <w:tc>
          <w:tcPr>
            <w:tcW w:w="2739" w:type="dxa"/>
          </w:tcPr>
          <w:p w:rsidR="00BB22D2" w:rsidRPr="005A7A48" w:rsidRDefault="00BB22D2" w:rsidP="00E86BAE">
            <w:pPr>
              <w:rPr>
                <w:rFonts w:cs="Arial"/>
                <w:sz w:val="20"/>
                <w:szCs w:val="20"/>
              </w:rPr>
            </w:pPr>
            <w:r w:rsidRPr="005A7A48">
              <w:rPr>
                <w:rFonts w:cs="Arial"/>
                <w:sz w:val="20"/>
                <w:szCs w:val="20"/>
              </w:rPr>
              <w:t>HEV</w:t>
            </w:r>
          </w:p>
        </w:tc>
        <w:tc>
          <w:tcPr>
            <w:tcW w:w="6801" w:type="dxa"/>
          </w:tcPr>
          <w:p w:rsidR="00BB22D2" w:rsidRPr="005A7A48" w:rsidRDefault="00BB22D2" w:rsidP="00E86BAE">
            <w:pPr>
              <w:rPr>
                <w:rFonts w:cs="Arial"/>
                <w:sz w:val="20"/>
                <w:szCs w:val="20"/>
              </w:rPr>
            </w:pPr>
            <w:r w:rsidRPr="005A7A48">
              <w:rPr>
                <w:rFonts w:cs="Arial"/>
                <w:sz w:val="20"/>
                <w:szCs w:val="20"/>
              </w:rPr>
              <w:t>hybrid electric vehicle</w:t>
            </w:r>
          </w:p>
        </w:tc>
      </w:tr>
      <w:tr w:rsidR="00BB22D2" w:rsidRPr="005A7A48" w:rsidTr="00BB22D2">
        <w:trPr>
          <w:trHeight w:val="295"/>
        </w:trPr>
        <w:tc>
          <w:tcPr>
            <w:tcW w:w="2739" w:type="dxa"/>
          </w:tcPr>
          <w:p w:rsidR="00BB22D2" w:rsidRPr="005A7A48" w:rsidRDefault="00BB22D2" w:rsidP="00E86BAE">
            <w:pPr>
              <w:rPr>
                <w:rFonts w:cs="Arial"/>
                <w:sz w:val="20"/>
                <w:szCs w:val="20"/>
              </w:rPr>
            </w:pPr>
            <w:r w:rsidRPr="005A7A48">
              <w:rPr>
                <w:rFonts w:cs="Arial"/>
                <w:sz w:val="20"/>
                <w:szCs w:val="20"/>
              </w:rPr>
              <w:t>ICE</w:t>
            </w:r>
          </w:p>
        </w:tc>
        <w:tc>
          <w:tcPr>
            <w:tcW w:w="6801" w:type="dxa"/>
          </w:tcPr>
          <w:p w:rsidR="00BB22D2" w:rsidRPr="005A7A48" w:rsidRDefault="00BB22D2" w:rsidP="00E86BAE">
            <w:pPr>
              <w:rPr>
                <w:rFonts w:cs="Arial"/>
                <w:sz w:val="20"/>
                <w:szCs w:val="20"/>
              </w:rPr>
            </w:pPr>
            <w:r w:rsidRPr="005A7A48">
              <w:rPr>
                <w:rFonts w:cs="Arial"/>
                <w:sz w:val="20"/>
                <w:szCs w:val="20"/>
              </w:rPr>
              <w:t>internal combustion engine</w:t>
            </w:r>
          </w:p>
        </w:tc>
      </w:tr>
      <w:tr w:rsidR="008E7D78" w:rsidRPr="005A7A48" w:rsidTr="00BB22D2">
        <w:trPr>
          <w:trHeight w:val="295"/>
        </w:trPr>
        <w:tc>
          <w:tcPr>
            <w:tcW w:w="2739" w:type="dxa"/>
          </w:tcPr>
          <w:p w:rsidR="008E7D78" w:rsidRPr="005A7A48" w:rsidRDefault="008E7D78" w:rsidP="00E86BAE">
            <w:pPr>
              <w:rPr>
                <w:rFonts w:cs="Arial"/>
                <w:sz w:val="20"/>
                <w:szCs w:val="20"/>
              </w:rPr>
            </w:pPr>
            <w:r w:rsidRPr="005A7A48">
              <w:rPr>
                <w:rFonts w:cs="Arial"/>
                <w:sz w:val="20"/>
                <w:szCs w:val="20"/>
              </w:rPr>
              <w:t>kW</w:t>
            </w:r>
          </w:p>
        </w:tc>
        <w:tc>
          <w:tcPr>
            <w:tcW w:w="6801" w:type="dxa"/>
          </w:tcPr>
          <w:p w:rsidR="008E7D78" w:rsidRPr="005A7A48" w:rsidRDefault="008E7D78" w:rsidP="00E86BAE">
            <w:pPr>
              <w:rPr>
                <w:rFonts w:cs="Arial"/>
                <w:sz w:val="20"/>
                <w:szCs w:val="20"/>
              </w:rPr>
            </w:pPr>
            <w:r w:rsidRPr="005A7A48">
              <w:rPr>
                <w:rFonts w:cs="Arial"/>
                <w:sz w:val="20"/>
                <w:szCs w:val="20"/>
              </w:rPr>
              <w:t>kilowatt</w:t>
            </w:r>
          </w:p>
        </w:tc>
      </w:tr>
      <w:tr w:rsidR="00BB22D2" w:rsidRPr="005A7A48" w:rsidTr="00BB22D2">
        <w:trPr>
          <w:trHeight w:val="295"/>
        </w:trPr>
        <w:tc>
          <w:tcPr>
            <w:tcW w:w="2739" w:type="dxa"/>
          </w:tcPr>
          <w:p w:rsidR="00BB22D2" w:rsidRPr="005A7A48" w:rsidRDefault="00BB22D2" w:rsidP="00E86BAE">
            <w:pPr>
              <w:rPr>
                <w:rFonts w:cs="Arial"/>
                <w:sz w:val="20"/>
                <w:szCs w:val="20"/>
              </w:rPr>
            </w:pPr>
            <w:r w:rsidRPr="005A7A48">
              <w:rPr>
                <w:rFonts w:cs="Arial"/>
                <w:sz w:val="20"/>
                <w:szCs w:val="20"/>
              </w:rPr>
              <w:t>kWh</w:t>
            </w:r>
          </w:p>
        </w:tc>
        <w:tc>
          <w:tcPr>
            <w:tcW w:w="6801" w:type="dxa"/>
          </w:tcPr>
          <w:p w:rsidR="00BB22D2" w:rsidRPr="005A7A48" w:rsidRDefault="00BB22D2" w:rsidP="00E86BAE">
            <w:pPr>
              <w:rPr>
                <w:rFonts w:cs="Arial"/>
                <w:sz w:val="20"/>
                <w:szCs w:val="20"/>
              </w:rPr>
            </w:pPr>
            <w:r w:rsidRPr="005A7A48">
              <w:rPr>
                <w:rFonts w:cs="Arial"/>
                <w:sz w:val="20"/>
                <w:szCs w:val="20"/>
              </w:rPr>
              <w:t>kilowatt-hour</w:t>
            </w:r>
          </w:p>
        </w:tc>
      </w:tr>
      <w:tr w:rsidR="00BB22D2" w:rsidRPr="005A7A48" w:rsidTr="00BB22D2">
        <w:trPr>
          <w:trHeight w:val="295"/>
        </w:trPr>
        <w:tc>
          <w:tcPr>
            <w:tcW w:w="2739" w:type="dxa"/>
          </w:tcPr>
          <w:p w:rsidR="00BB22D2" w:rsidRPr="005A7A48" w:rsidRDefault="00BB22D2" w:rsidP="00E86BAE">
            <w:pPr>
              <w:rPr>
                <w:rFonts w:cs="Arial"/>
                <w:sz w:val="20"/>
                <w:szCs w:val="20"/>
              </w:rPr>
            </w:pPr>
            <w:r w:rsidRPr="005A7A48">
              <w:rPr>
                <w:rFonts w:cs="Arial"/>
                <w:sz w:val="20"/>
                <w:szCs w:val="20"/>
              </w:rPr>
              <w:t>LNG</w:t>
            </w:r>
          </w:p>
        </w:tc>
        <w:tc>
          <w:tcPr>
            <w:tcW w:w="6801" w:type="dxa"/>
          </w:tcPr>
          <w:p w:rsidR="00BB22D2" w:rsidRPr="005A7A48" w:rsidRDefault="00BB22D2" w:rsidP="00E86BAE">
            <w:pPr>
              <w:rPr>
                <w:rFonts w:cs="Arial"/>
                <w:sz w:val="20"/>
                <w:szCs w:val="20"/>
              </w:rPr>
            </w:pPr>
            <w:r w:rsidRPr="005A7A48">
              <w:rPr>
                <w:rFonts w:cs="Arial"/>
                <w:sz w:val="20"/>
                <w:szCs w:val="20"/>
              </w:rPr>
              <w:t>liquefied natural gas</w:t>
            </w:r>
          </w:p>
        </w:tc>
      </w:tr>
      <w:tr w:rsidR="008E7D78" w:rsidRPr="005A7A48" w:rsidTr="00BB22D2">
        <w:trPr>
          <w:trHeight w:val="295"/>
        </w:trPr>
        <w:tc>
          <w:tcPr>
            <w:tcW w:w="2739" w:type="dxa"/>
          </w:tcPr>
          <w:p w:rsidR="008E7D78" w:rsidRPr="005A7A48" w:rsidRDefault="008E7D78" w:rsidP="00E86BAE">
            <w:pPr>
              <w:rPr>
                <w:rFonts w:cs="Arial"/>
                <w:sz w:val="20"/>
                <w:szCs w:val="20"/>
              </w:rPr>
            </w:pPr>
            <w:r w:rsidRPr="005A7A48">
              <w:rPr>
                <w:rFonts w:cs="Arial"/>
                <w:sz w:val="20"/>
                <w:szCs w:val="20"/>
              </w:rPr>
              <w:t>MLP</w:t>
            </w:r>
          </w:p>
        </w:tc>
        <w:tc>
          <w:tcPr>
            <w:tcW w:w="6801" w:type="dxa"/>
          </w:tcPr>
          <w:p w:rsidR="008E7D78" w:rsidRPr="005A7A48" w:rsidRDefault="008E7D78" w:rsidP="00E86BAE">
            <w:pPr>
              <w:rPr>
                <w:rFonts w:cs="Arial"/>
                <w:sz w:val="20"/>
                <w:szCs w:val="20"/>
              </w:rPr>
            </w:pPr>
            <w:r w:rsidRPr="005A7A48">
              <w:rPr>
                <w:rFonts w:cs="Arial"/>
                <w:sz w:val="20"/>
                <w:szCs w:val="20"/>
              </w:rPr>
              <w:t>master limited partnership</w:t>
            </w:r>
          </w:p>
        </w:tc>
      </w:tr>
      <w:tr w:rsidR="008E7D78" w:rsidRPr="005A7A48" w:rsidTr="00BB22D2">
        <w:trPr>
          <w:trHeight w:val="295"/>
        </w:trPr>
        <w:tc>
          <w:tcPr>
            <w:tcW w:w="2739" w:type="dxa"/>
          </w:tcPr>
          <w:p w:rsidR="008E7D78" w:rsidRPr="005A7A48" w:rsidRDefault="008E7D78" w:rsidP="00E86BAE">
            <w:pPr>
              <w:rPr>
                <w:rFonts w:cs="Arial"/>
                <w:sz w:val="20"/>
                <w:szCs w:val="20"/>
              </w:rPr>
            </w:pPr>
            <w:r w:rsidRPr="005A7A48">
              <w:rPr>
                <w:rFonts w:cs="Arial"/>
                <w:sz w:val="20"/>
                <w:szCs w:val="20"/>
              </w:rPr>
              <w:t>N</w:t>
            </w:r>
            <w:r w:rsidRPr="005A7A48">
              <w:rPr>
                <w:rFonts w:cs="Arial"/>
                <w:sz w:val="20"/>
                <w:szCs w:val="20"/>
                <w:vertAlign w:val="subscript"/>
              </w:rPr>
              <w:t>2</w:t>
            </w:r>
            <w:r w:rsidRPr="005A7A48">
              <w:rPr>
                <w:rFonts w:cs="Arial"/>
                <w:sz w:val="20"/>
                <w:szCs w:val="20"/>
              </w:rPr>
              <w:t>O</w:t>
            </w:r>
          </w:p>
        </w:tc>
        <w:tc>
          <w:tcPr>
            <w:tcW w:w="6801" w:type="dxa"/>
          </w:tcPr>
          <w:p w:rsidR="008E7D78" w:rsidRPr="005A7A48" w:rsidRDefault="008E7D78" w:rsidP="00E86BAE">
            <w:pPr>
              <w:rPr>
                <w:rFonts w:cs="Arial"/>
                <w:sz w:val="20"/>
                <w:szCs w:val="20"/>
              </w:rPr>
            </w:pPr>
            <w:r w:rsidRPr="005A7A48">
              <w:rPr>
                <w:rFonts w:cs="Arial"/>
                <w:sz w:val="20"/>
                <w:szCs w:val="20"/>
              </w:rPr>
              <w:t>nitrous oxide</w:t>
            </w:r>
          </w:p>
        </w:tc>
      </w:tr>
      <w:tr w:rsidR="00BB22D2" w:rsidRPr="005A7A48" w:rsidTr="00BB22D2">
        <w:trPr>
          <w:trHeight w:val="295"/>
        </w:trPr>
        <w:tc>
          <w:tcPr>
            <w:tcW w:w="2739" w:type="dxa"/>
          </w:tcPr>
          <w:p w:rsidR="00BB22D2" w:rsidRPr="005A7A48" w:rsidRDefault="00BB22D2" w:rsidP="00E86BAE">
            <w:pPr>
              <w:rPr>
                <w:rFonts w:cs="Arial"/>
                <w:sz w:val="20"/>
                <w:szCs w:val="20"/>
              </w:rPr>
            </w:pPr>
            <w:r w:rsidRPr="005A7A48">
              <w:rPr>
                <w:rFonts w:cs="Arial"/>
                <w:sz w:val="20"/>
                <w:szCs w:val="20"/>
              </w:rPr>
              <w:t>NOx</w:t>
            </w:r>
          </w:p>
        </w:tc>
        <w:tc>
          <w:tcPr>
            <w:tcW w:w="6801" w:type="dxa"/>
          </w:tcPr>
          <w:p w:rsidR="00BB22D2" w:rsidRPr="005A7A48" w:rsidRDefault="00BB22D2" w:rsidP="00E86BAE">
            <w:pPr>
              <w:rPr>
                <w:rFonts w:cs="Arial"/>
                <w:sz w:val="20"/>
                <w:szCs w:val="20"/>
              </w:rPr>
            </w:pPr>
            <w:r w:rsidRPr="005A7A48">
              <w:rPr>
                <w:rFonts w:cs="Arial"/>
                <w:sz w:val="20"/>
                <w:szCs w:val="20"/>
              </w:rPr>
              <w:t>nitrogen oxides</w:t>
            </w:r>
          </w:p>
        </w:tc>
      </w:tr>
      <w:tr w:rsidR="008E7D78" w:rsidRPr="005A7A48" w:rsidTr="00BB22D2">
        <w:trPr>
          <w:trHeight w:val="295"/>
        </w:trPr>
        <w:tc>
          <w:tcPr>
            <w:tcW w:w="2739" w:type="dxa"/>
          </w:tcPr>
          <w:p w:rsidR="008E7D78" w:rsidRPr="005A7A48" w:rsidRDefault="008E7D78" w:rsidP="00E86BAE">
            <w:pPr>
              <w:rPr>
                <w:rFonts w:cs="Arial"/>
                <w:sz w:val="20"/>
                <w:szCs w:val="20"/>
              </w:rPr>
            </w:pPr>
            <w:r w:rsidRPr="005A7A48">
              <w:rPr>
                <w:rFonts w:cs="Arial"/>
                <w:sz w:val="20"/>
                <w:szCs w:val="20"/>
              </w:rPr>
              <w:t>NPC</w:t>
            </w:r>
          </w:p>
        </w:tc>
        <w:tc>
          <w:tcPr>
            <w:tcW w:w="6801" w:type="dxa"/>
          </w:tcPr>
          <w:p w:rsidR="008E7D78" w:rsidRPr="005A7A48" w:rsidRDefault="008E7D78" w:rsidP="00E86BAE">
            <w:pPr>
              <w:rPr>
                <w:rFonts w:cs="Arial"/>
                <w:sz w:val="20"/>
                <w:szCs w:val="20"/>
              </w:rPr>
            </w:pPr>
            <w:r w:rsidRPr="005A7A48">
              <w:rPr>
                <w:rFonts w:cs="Arial"/>
                <w:sz w:val="20"/>
                <w:szCs w:val="20"/>
              </w:rPr>
              <w:t>National Petroleum Council</w:t>
            </w:r>
          </w:p>
        </w:tc>
      </w:tr>
      <w:tr w:rsidR="00BB22D2" w:rsidRPr="005A7A48" w:rsidTr="00BB22D2">
        <w:trPr>
          <w:trHeight w:val="295"/>
        </w:trPr>
        <w:tc>
          <w:tcPr>
            <w:tcW w:w="2739" w:type="dxa"/>
          </w:tcPr>
          <w:p w:rsidR="00BB22D2" w:rsidRPr="005A7A48" w:rsidRDefault="00BB22D2" w:rsidP="00E86BAE">
            <w:pPr>
              <w:rPr>
                <w:rFonts w:cs="Arial"/>
                <w:sz w:val="20"/>
                <w:szCs w:val="20"/>
              </w:rPr>
            </w:pPr>
            <w:r w:rsidRPr="005A7A48">
              <w:rPr>
                <w:rFonts w:cs="Arial"/>
                <w:sz w:val="20"/>
                <w:szCs w:val="20"/>
              </w:rPr>
              <w:t>PEV</w:t>
            </w:r>
          </w:p>
        </w:tc>
        <w:tc>
          <w:tcPr>
            <w:tcW w:w="6801" w:type="dxa"/>
          </w:tcPr>
          <w:p w:rsidR="00BB22D2" w:rsidRPr="005A7A48" w:rsidRDefault="00BB22D2" w:rsidP="00E86BAE">
            <w:pPr>
              <w:rPr>
                <w:rFonts w:cs="Arial"/>
                <w:sz w:val="20"/>
                <w:szCs w:val="20"/>
              </w:rPr>
            </w:pPr>
            <w:r w:rsidRPr="005A7A48">
              <w:rPr>
                <w:rFonts w:cs="Arial"/>
                <w:sz w:val="20"/>
                <w:szCs w:val="20"/>
              </w:rPr>
              <w:t xml:space="preserve">plug-in </w:t>
            </w:r>
            <w:r w:rsidR="00952E46">
              <w:rPr>
                <w:rFonts w:cs="Arial"/>
                <w:sz w:val="20"/>
                <w:szCs w:val="20"/>
              </w:rPr>
              <w:t xml:space="preserve">electric </w:t>
            </w:r>
            <w:r w:rsidRPr="005A7A48">
              <w:rPr>
                <w:rFonts w:cs="Arial"/>
                <w:sz w:val="20"/>
                <w:szCs w:val="20"/>
              </w:rPr>
              <w:t>vehicle</w:t>
            </w:r>
          </w:p>
        </w:tc>
      </w:tr>
      <w:tr w:rsidR="00BB22D2" w:rsidRPr="005A7A48" w:rsidTr="00BB22D2">
        <w:trPr>
          <w:trHeight w:val="295"/>
        </w:trPr>
        <w:tc>
          <w:tcPr>
            <w:tcW w:w="2739" w:type="dxa"/>
          </w:tcPr>
          <w:p w:rsidR="00BB22D2" w:rsidRPr="005A7A48" w:rsidRDefault="00BB22D2" w:rsidP="00E86BAE">
            <w:pPr>
              <w:rPr>
                <w:rFonts w:cs="Arial"/>
                <w:sz w:val="20"/>
                <w:szCs w:val="20"/>
              </w:rPr>
            </w:pPr>
            <w:r w:rsidRPr="005A7A48">
              <w:rPr>
                <w:rFonts w:cs="Arial"/>
                <w:sz w:val="20"/>
                <w:szCs w:val="20"/>
              </w:rPr>
              <w:t>PHEV</w:t>
            </w:r>
          </w:p>
        </w:tc>
        <w:tc>
          <w:tcPr>
            <w:tcW w:w="6801" w:type="dxa"/>
          </w:tcPr>
          <w:p w:rsidR="00BB22D2" w:rsidRPr="005A7A48" w:rsidRDefault="00BB22D2" w:rsidP="00E86BAE">
            <w:pPr>
              <w:rPr>
                <w:rFonts w:cs="Arial"/>
                <w:sz w:val="20"/>
                <w:szCs w:val="20"/>
              </w:rPr>
            </w:pPr>
            <w:r w:rsidRPr="005A7A48">
              <w:rPr>
                <w:rFonts w:cs="Arial"/>
                <w:sz w:val="20"/>
                <w:szCs w:val="20"/>
              </w:rPr>
              <w:t>plug-in hybrid electric vehicle</w:t>
            </w:r>
          </w:p>
        </w:tc>
      </w:tr>
      <w:tr w:rsidR="00BB22D2" w:rsidRPr="005A7A48" w:rsidTr="00BB22D2">
        <w:trPr>
          <w:trHeight w:val="295"/>
        </w:trPr>
        <w:tc>
          <w:tcPr>
            <w:tcW w:w="2739" w:type="dxa"/>
          </w:tcPr>
          <w:p w:rsidR="00BB22D2" w:rsidRPr="005A7A48" w:rsidRDefault="00BB22D2" w:rsidP="00E86BAE">
            <w:pPr>
              <w:rPr>
                <w:rFonts w:cs="Arial"/>
                <w:sz w:val="20"/>
                <w:szCs w:val="20"/>
              </w:rPr>
            </w:pPr>
            <w:r w:rsidRPr="005A7A48">
              <w:rPr>
                <w:rFonts w:cs="Arial"/>
                <w:sz w:val="20"/>
                <w:szCs w:val="20"/>
              </w:rPr>
              <w:t>PPP</w:t>
            </w:r>
          </w:p>
        </w:tc>
        <w:tc>
          <w:tcPr>
            <w:tcW w:w="6801" w:type="dxa"/>
          </w:tcPr>
          <w:p w:rsidR="00BB22D2" w:rsidRPr="005A7A48" w:rsidRDefault="00BB22D2" w:rsidP="00E86BAE">
            <w:pPr>
              <w:rPr>
                <w:rFonts w:cs="Arial"/>
                <w:sz w:val="20"/>
                <w:szCs w:val="20"/>
              </w:rPr>
            </w:pPr>
            <w:r w:rsidRPr="005A7A48">
              <w:rPr>
                <w:rFonts w:cs="Arial"/>
                <w:sz w:val="20"/>
                <w:szCs w:val="20"/>
              </w:rPr>
              <w:t>public-private partnership</w:t>
            </w:r>
          </w:p>
        </w:tc>
      </w:tr>
      <w:tr w:rsidR="00BB22D2" w:rsidRPr="005A7A48" w:rsidTr="00BB22D2">
        <w:trPr>
          <w:trHeight w:val="295"/>
        </w:trPr>
        <w:tc>
          <w:tcPr>
            <w:tcW w:w="2739" w:type="dxa"/>
          </w:tcPr>
          <w:p w:rsidR="00BB22D2" w:rsidRPr="005A7A48" w:rsidRDefault="00BB22D2" w:rsidP="00E86BAE">
            <w:pPr>
              <w:rPr>
                <w:rFonts w:cs="Arial"/>
                <w:sz w:val="20"/>
                <w:szCs w:val="20"/>
              </w:rPr>
            </w:pPr>
            <w:r w:rsidRPr="005A7A48">
              <w:rPr>
                <w:rFonts w:cs="Arial"/>
                <w:sz w:val="20"/>
                <w:szCs w:val="20"/>
              </w:rPr>
              <w:t>Proalcool</w:t>
            </w:r>
          </w:p>
        </w:tc>
        <w:tc>
          <w:tcPr>
            <w:tcW w:w="6801" w:type="dxa"/>
          </w:tcPr>
          <w:p w:rsidR="00BB22D2" w:rsidRPr="005A7A48" w:rsidRDefault="00BB22D2" w:rsidP="00E86BAE">
            <w:pPr>
              <w:rPr>
                <w:rFonts w:cs="Arial"/>
                <w:sz w:val="20"/>
                <w:szCs w:val="20"/>
              </w:rPr>
            </w:pPr>
            <w:r w:rsidRPr="005A7A48">
              <w:rPr>
                <w:rFonts w:cs="Arial"/>
                <w:sz w:val="20"/>
                <w:szCs w:val="20"/>
              </w:rPr>
              <w:t>Programa Nacional do Álcool (Brazil)</w:t>
            </w:r>
          </w:p>
        </w:tc>
      </w:tr>
      <w:tr w:rsidR="00BB22D2" w:rsidRPr="005A7A48" w:rsidTr="00BB22D2">
        <w:trPr>
          <w:trHeight w:val="295"/>
        </w:trPr>
        <w:tc>
          <w:tcPr>
            <w:tcW w:w="2739" w:type="dxa"/>
          </w:tcPr>
          <w:p w:rsidR="00BB22D2" w:rsidRPr="005A7A48" w:rsidRDefault="00BB22D2" w:rsidP="00E86BAE">
            <w:pPr>
              <w:rPr>
                <w:rFonts w:cs="Arial"/>
                <w:sz w:val="20"/>
                <w:szCs w:val="20"/>
              </w:rPr>
            </w:pPr>
            <w:r w:rsidRPr="005A7A48">
              <w:rPr>
                <w:rFonts w:cs="Arial"/>
                <w:sz w:val="20"/>
                <w:szCs w:val="20"/>
              </w:rPr>
              <w:t>PSI</w:t>
            </w:r>
          </w:p>
        </w:tc>
        <w:tc>
          <w:tcPr>
            <w:tcW w:w="6801" w:type="dxa"/>
          </w:tcPr>
          <w:p w:rsidR="00BB22D2" w:rsidRPr="005A7A48" w:rsidRDefault="00BB22D2" w:rsidP="00E86BAE">
            <w:pPr>
              <w:rPr>
                <w:rFonts w:cs="Arial"/>
                <w:sz w:val="20"/>
                <w:szCs w:val="20"/>
              </w:rPr>
            </w:pPr>
            <w:r w:rsidRPr="005A7A48">
              <w:rPr>
                <w:rFonts w:cs="Arial"/>
                <w:sz w:val="20"/>
                <w:szCs w:val="20"/>
              </w:rPr>
              <w:t>pounds per square inch</w:t>
            </w:r>
          </w:p>
        </w:tc>
      </w:tr>
      <w:tr w:rsidR="008E7D78" w:rsidRPr="005A7A48" w:rsidTr="00BB22D2">
        <w:trPr>
          <w:trHeight w:val="295"/>
        </w:trPr>
        <w:tc>
          <w:tcPr>
            <w:tcW w:w="2739" w:type="dxa"/>
          </w:tcPr>
          <w:p w:rsidR="008E7D78" w:rsidRPr="005A7A48" w:rsidRDefault="008E7D78" w:rsidP="00E86BAE">
            <w:pPr>
              <w:rPr>
                <w:rFonts w:cs="Arial"/>
                <w:sz w:val="20"/>
                <w:szCs w:val="20"/>
              </w:rPr>
            </w:pPr>
            <w:r w:rsidRPr="005A7A48">
              <w:rPr>
                <w:rFonts w:cs="Arial"/>
                <w:sz w:val="20"/>
                <w:szCs w:val="20"/>
              </w:rPr>
              <w:t>REIT</w:t>
            </w:r>
          </w:p>
        </w:tc>
        <w:tc>
          <w:tcPr>
            <w:tcW w:w="6801" w:type="dxa"/>
          </w:tcPr>
          <w:p w:rsidR="008E7D78" w:rsidRPr="005A7A48" w:rsidRDefault="008E7D78" w:rsidP="008E7D78">
            <w:pPr>
              <w:rPr>
                <w:rFonts w:cs="Arial"/>
                <w:sz w:val="20"/>
                <w:szCs w:val="20"/>
              </w:rPr>
            </w:pPr>
            <w:r w:rsidRPr="005A7A48">
              <w:rPr>
                <w:rFonts w:cs="Arial"/>
                <w:sz w:val="20"/>
                <w:szCs w:val="20"/>
              </w:rPr>
              <w:t>real estate investment trust</w:t>
            </w:r>
          </w:p>
        </w:tc>
      </w:tr>
      <w:tr w:rsidR="00BB22D2" w:rsidRPr="005A7A48" w:rsidTr="00BB22D2">
        <w:trPr>
          <w:trHeight w:val="295"/>
        </w:trPr>
        <w:tc>
          <w:tcPr>
            <w:tcW w:w="2739" w:type="dxa"/>
          </w:tcPr>
          <w:p w:rsidR="00BB22D2" w:rsidRPr="005A7A48" w:rsidRDefault="00BB22D2" w:rsidP="00E86BAE">
            <w:pPr>
              <w:rPr>
                <w:rFonts w:cs="Arial"/>
                <w:sz w:val="20"/>
                <w:szCs w:val="20"/>
              </w:rPr>
            </w:pPr>
            <w:r w:rsidRPr="005A7A48">
              <w:rPr>
                <w:rFonts w:cs="Arial"/>
                <w:sz w:val="20"/>
                <w:szCs w:val="20"/>
              </w:rPr>
              <w:t>RFS</w:t>
            </w:r>
          </w:p>
        </w:tc>
        <w:tc>
          <w:tcPr>
            <w:tcW w:w="6801" w:type="dxa"/>
          </w:tcPr>
          <w:p w:rsidR="00BB22D2" w:rsidRPr="005A7A48" w:rsidRDefault="008E7D78" w:rsidP="008E7D78">
            <w:pPr>
              <w:rPr>
                <w:rFonts w:cs="Arial"/>
                <w:sz w:val="20"/>
                <w:szCs w:val="20"/>
              </w:rPr>
            </w:pPr>
            <w:r w:rsidRPr="005A7A48">
              <w:rPr>
                <w:rFonts w:cs="Arial"/>
                <w:sz w:val="20"/>
                <w:szCs w:val="20"/>
              </w:rPr>
              <w:t>renewable fuels s</w:t>
            </w:r>
            <w:r w:rsidR="00BB22D2" w:rsidRPr="005A7A48">
              <w:rPr>
                <w:rFonts w:cs="Arial"/>
                <w:sz w:val="20"/>
                <w:szCs w:val="20"/>
              </w:rPr>
              <w:t>tandard</w:t>
            </w:r>
          </w:p>
        </w:tc>
      </w:tr>
      <w:tr w:rsidR="00BB22D2" w:rsidRPr="005A7A48" w:rsidTr="00BB22D2">
        <w:trPr>
          <w:trHeight w:val="283"/>
        </w:trPr>
        <w:tc>
          <w:tcPr>
            <w:tcW w:w="2739" w:type="dxa"/>
          </w:tcPr>
          <w:p w:rsidR="00BB22D2" w:rsidRPr="005A7A48" w:rsidRDefault="00BB22D2" w:rsidP="00E86BAE">
            <w:pPr>
              <w:rPr>
                <w:rFonts w:cs="Arial"/>
                <w:sz w:val="20"/>
                <w:szCs w:val="20"/>
              </w:rPr>
            </w:pPr>
            <w:r w:rsidRPr="005A7A48">
              <w:rPr>
                <w:rFonts w:cs="Arial"/>
                <w:sz w:val="20"/>
                <w:szCs w:val="20"/>
              </w:rPr>
              <w:t>SMR</w:t>
            </w:r>
          </w:p>
        </w:tc>
        <w:tc>
          <w:tcPr>
            <w:tcW w:w="6801" w:type="dxa"/>
          </w:tcPr>
          <w:p w:rsidR="00BB22D2" w:rsidRPr="005A7A48" w:rsidRDefault="00BB22D2" w:rsidP="00E86BAE">
            <w:pPr>
              <w:rPr>
                <w:rFonts w:cs="Arial"/>
                <w:sz w:val="20"/>
                <w:szCs w:val="20"/>
              </w:rPr>
            </w:pPr>
            <w:r w:rsidRPr="005A7A48">
              <w:rPr>
                <w:rFonts w:cs="Arial"/>
                <w:sz w:val="20"/>
                <w:szCs w:val="20"/>
              </w:rPr>
              <w:t>steam methane reforming</w:t>
            </w:r>
          </w:p>
        </w:tc>
      </w:tr>
      <w:tr w:rsidR="008E7D78" w:rsidRPr="005A7A48" w:rsidTr="00BB22D2">
        <w:trPr>
          <w:trHeight w:val="283"/>
        </w:trPr>
        <w:tc>
          <w:tcPr>
            <w:tcW w:w="2739" w:type="dxa"/>
          </w:tcPr>
          <w:p w:rsidR="008E7D78" w:rsidRPr="005A7A48" w:rsidRDefault="008E7D78" w:rsidP="00E86BAE">
            <w:pPr>
              <w:rPr>
                <w:rFonts w:cs="Arial"/>
                <w:sz w:val="20"/>
                <w:szCs w:val="20"/>
              </w:rPr>
            </w:pPr>
            <w:r w:rsidRPr="005A7A48">
              <w:rPr>
                <w:rFonts w:cs="Arial"/>
                <w:sz w:val="20"/>
                <w:szCs w:val="20"/>
              </w:rPr>
              <w:t>VOCs</w:t>
            </w:r>
          </w:p>
        </w:tc>
        <w:tc>
          <w:tcPr>
            <w:tcW w:w="6801" w:type="dxa"/>
          </w:tcPr>
          <w:p w:rsidR="008E7D78" w:rsidRPr="005A7A48" w:rsidRDefault="008E7D78" w:rsidP="00E86BAE">
            <w:pPr>
              <w:rPr>
                <w:rFonts w:cs="Arial"/>
                <w:sz w:val="20"/>
                <w:szCs w:val="20"/>
              </w:rPr>
            </w:pPr>
            <w:r w:rsidRPr="005A7A48">
              <w:rPr>
                <w:rFonts w:cs="Arial"/>
                <w:sz w:val="20"/>
                <w:szCs w:val="20"/>
              </w:rPr>
              <w:t>volatile organic compounds</w:t>
            </w:r>
          </w:p>
        </w:tc>
      </w:tr>
    </w:tbl>
    <w:p w:rsidR="00073903" w:rsidRPr="00073903" w:rsidRDefault="00073903" w:rsidP="00073903">
      <w:pPr>
        <w:pStyle w:val="Heading1"/>
        <w:rPr>
          <w:lang w:val="en-US"/>
        </w:rPr>
      </w:pPr>
      <w:bookmarkStart w:id="78" w:name="_Toc352854223"/>
      <w:r w:rsidRPr="008720F3">
        <w:rPr>
          <w:caps w:val="0"/>
        </w:rPr>
        <w:lastRenderedPageBreak/>
        <w:t xml:space="preserve">APPENDIX B: </w:t>
      </w:r>
      <w:r>
        <w:rPr>
          <w:caps w:val="0"/>
          <w:lang w:val="en-US"/>
        </w:rPr>
        <w:t>COMPARISON OF GHG EMISSIONS FROM AFVS</w:t>
      </w:r>
      <w:bookmarkEnd w:id="78"/>
    </w:p>
    <w:p w:rsidR="00073903" w:rsidRDefault="00073903" w:rsidP="00073903">
      <w:pPr>
        <w:rPr>
          <w:rFonts w:cs="Arial"/>
          <w:szCs w:val="24"/>
        </w:rPr>
      </w:pPr>
      <w:r>
        <w:t>E</w:t>
      </w:r>
      <w:r w:rsidRPr="002A1037">
        <w:t xml:space="preserve">ach of the </w:t>
      </w:r>
      <w:r>
        <w:t>alternative fuels</w:t>
      </w:r>
      <w:r w:rsidRPr="002A1037">
        <w:t xml:space="preserve"> discussed in this paper </w:t>
      </w:r>
      <w:r>
        <w:t xml:space="preserve">(i.e., compressed natural gas, electricity, hydrogen, and ethanol) </w:t>
      </w:r>
      <w:r w:rsidRPr="002A1037">
        <w:t xml:space="preserve">has the potential to </w:t>
      </w:r>
      <w:r w:rsidRPr="002A1037">
        <w:rPr>
          <w:rFonts w:cs="Arial"/>
          <w:szCs w:val="24"/>
        </w:rPr>
        <w:t xml:space="preserve">displace petroleum use and </w:t>
      </w:r>
      <w:r w:rsidRPr="002A1037">
        <w:t>reduce GHG emissions. The environmental effects of AFVs vary by technology type. While AFVs powered by electricity or hydrogen may have no tailpipe emissions, every fuel type is responsible for some amount of emissions f</w:t>
      </w:r>
      <w:r w:rsidRPr="002A1037">
        <w:rPr>
          <w:rFonts w:cs="Arial"/>
          <w:szCs w:val="24"/>
        </w:rPr>
        <w:t>rom a lifecycle perspective.</w:t>
      </w:r>
      <w:r w:rsidRPr="002A1037">
        <w:rPr>
          <w:rStyle w:val="FootnoteReference"/>
          <w:rFonts w:cs="Arial"/>
          <w:szCs w:val="24"/>
        </w:rPr>
        <w:footnoteReference w:id="190"/>
      </w:r>
    </w:p>
    <w:p w:rsidR="00073903" w:rsidRPr="002A1037" w:rsidRDefault="00073903" w:rsidP="00073903">
      <w:pPr>
        <w:rPr>
          <w:rFonts w:cs="Arial"/>
          <w:szCs w:val="24"/>
        </w:rPr>
      </w:pPr>
      <w:r>
        <w:rPr>
          <w:rFonts w:cs="Arial"/>
          <w:szCs w:val="24"/>
        </w:rPr>
        <w:t>While natural gas is a fossil fuel, c</w:t>
      </w:r>
      <w:r w:rsidRPr="00096C2E">
        <w:rPr>
          <w:rFonts w:cs="Arial"/>
          <w:szCs w:val="24"/>
        </w:rPr>
        <w:t xml:space="preserve">ompared with vehicles </w:t>
      </w:r>
      <w:r>
        <w:rPr>
          <w:rFonts w:cs="Arial"/>
          <w:szCs w:val="24"/>
        </w:rPr>
        <w:t>that rely on</w:t>
      </w:r>
      <w:r w:rsidRPr="00096C2E">
        <w:rPr>
          <w:rFonts w:cs="Arial"/>
          <w:szCs w:val="24"/>
        </w:rPr>
        <w:t xml:space="preserve"> diesel and gasoline, natural gas vehicles produce lower levels of some </w:t>
      </w:r>
      <w:r>
        <w:rPr>
          <w:rFonts w:cs="Arial"/>
          <w:szCs w:val="24"/>
        </w:rPr>
        <w:t>types of emissions</w:t>
      </w:r>
      <w:r w:rsidRPr="00096C2E">
        <w:rPr>
          <w:rFonts w:cs="Arial"/>
          <w:szCs w:val="24"/>
        </w:rPr>
        <w:t>.</w:t>
      </w:r>
      <w:r>
        <w:rPr>
          <w:rFonts w:cs="Arial"/>
          <w:szCs w:val="24"/>
        </w:rPr>
        <w:t xml:space="preserve"> </w:t>
      </w:r>
      <w:r w:rsidRPr="002A1037">
        <w:rPr>
          <w:rFonts w:cs="Arial"/>
          <w:szCs w:val="24"/>
        </w:rPr>
        <w:t xml:space="preserve">Vehicles powered by CNG emit approximately 6 – 11 percent less lifecycle GHG emissions compared </w:t>
      </w:r>
      <w:r>
        <w:rPr>
          <w:rFonts w:cs="Arial"/>
          <w:szCs w:val="24"/>
        </w:rPr>
        <w:t xml:space="preserve">to </w:t>
      </w:r>
      <w:r w:rsidRPr="002A1037">
        <w:rPr>
          <w:rFonts w:cs="Arial"/>
          <w:szCs w:val="24"/>
        </w:rPr>
        <w:t>gasoline-powered vehicles.</w:t>
      </w:r>
      <w:r w:rsidRPr="002A1037">
        <w:rPr>
          <w:rStyle w:val="FootnoteReference"/>
          <w:rFonts w:cs="Arial"/>
          <w:szCs w:val="24"/>
        </w:rPr>
        <w:footnoteReference w:id="191"/>
      </w:r>
    </w:p>
    <w:p w:rsidR="00073903" w:rsidRPr="002A1037" w:rsidRDefault="00073903" w:rsidP="00073903">
      <w:pPr>
        <w:rPr>
          <w:rFonts w:cs="Arial"/>
          <w:szCs w:val="24"/>
        </w:rPr>
      </w:pPr>
      <w:r w:rsidRPr="002A1037">
        <w:rPr>
          <w:rFonts w:cs="Arial"/>
          <w:szCs w:val="24"/>
        </w:rPr>
        <w:t xml:space="preserve">Lifecycle emissions of PEVs vary drastically depending on how the electricity </w:t>
      </w:r>
      <w:r>
        <w:rPr>
          <w:rFonts w:cs="Arial"/>
          <w:szCs w:val="24"/>
        </w:rPr>
        <w:t xml:space="preserve">used for charging is generated: PEVs produce fewer lifecycle GHG emissions using </w:t>
      </w:r>
      <w:r w:rsidRPr="002A1037">
        <w:rPr>
          <w:rFonts w:cs="Arial"/>
          <w:szCs w:val="24"/>
        </w:rPr>
        <w:t xml:space="preserve">electricity from </w:t>
      </w:r>
      <w:r>
        <w:rPr>
          <w:rFonts w:cs="Arial"/>
          <w:szCs w:val="24"/>
        </w:rPr>
        <w:t xml:space="preserve">power plants using </w:t>
      </w:r>
      <w:r w:rsidRPr="002A1037">
        <w:rPr>
          <w:rFonts w:cs="Arial"/>
          <w:szCs w:val="24"/>
        </w:rPr>
        <w:t xml:space="preserve">relatively cleaner </w:t>
      </w:r>
      <w:r>
        <w:rPr>
          <w:rFonts w:cs="Arial"/>
          <w:szCs w:val="24"/>
        </w:rPr>
        <w:t xml:space="preserve">fuels (e.g., </w:t>
      </w:r>
      <w:r w:rsidRPr="002A1037">
        <w:rPr>
          <w:rFonts w:cs="Arial"/>
          <w:szCs w:val="24"/>
        </w:rPr>
        <w:t xml:space="preserve">nuclear, renewable, and </w:t>
      </w:r>
      <w:r>
        <w:rPr>
          <w:rFonts w:cs="Arial"/>
          <w:szCs w:val="24"/>
        </w:rPr>
        <w:t>hydroelectric power plants),</w:t>
      </w:r>
      <w:r w:rsidRPr="002A1037">
        <w:rPr>
          <w:rFonts w:cs="Arial"/>
          <w:szCs w:val="24"/>
        </w:rPr>
        <w:t xml:space="preserve"> </w:t>
      </w:r>
      <w:r>
        <w:rPr>
          <w:rFonts w:cs="Arial"/>
          <w:szCs w:val="24"/>
        </w:rPr>
        <w:t>than they do when they rely on fossil fuel plants</w:t>
      </w:r>
      <w:r w:rsidRPr="002A1037">
        <w:rPr>
          <w:rFonts w:cs="Arial"/>
          <w:szCs w:val="24"/>
        </w:rPr>
        <w:t xml:space="preserve"> </w:t>
      </w:r>
      <w:r>
        <w:rPr>
          <w:rFonts w:cs="Arial"/>
          <w:szCs w:val="24"/>
        </w:rPr>
        <w:t xml:space="preserve">(e.g., </w:t>
      </w:r>
      <w:r w:rsidRPr="002A1037">
        <w:rPr>
          <w:rFonts w:cs="Arial"/>
          <w:szCs w:val="24"/>
        </w:rPr>
        <w:t>coal</w:t>
      </w:r>
      <w:r>
        <w:rPr>
          <w:rFonts w:cs="Arial"/>
          <w:szCs w:val="24"/>
        </w:rPr>
        <w:t>, oil, or natural gas)</w:t>
      </w:r>
      <w:r w:rsidRPr="002A1037">
        <w:rPr>
          <w:rFonts w:cs="Arial"/>
          <w:szCs w:val="24"/>
        </w:rPr>
        <w:t>. Depending on the mix of fuels used to produce electricity, typical estimates suggest that BEVs could reduce GHG emissions by 20 – 50 percent and PHEVs coul</w:t>
      </w:r>
      <w:r>
        <w:rPr>
          <w:rFonts w:cs="Arial"/>
          <w:szCs w:val="24"/>
        </w:rPr>
        <w:t xml:space="preserve">d reduce GHG emissions by 20 – </w:t>
      </w:r>
      <w:r w:rsidRPr="002A1037">
        <w:rPr>
          <w:rFonts w:cs="Arial"/>
          <w:szCs w:val="24"/>
        </w:rPr>
        <w:t>60</w:t>
      </w:r>
      <w:r>
        <w:rPr>
          <w:rFonts w:cs="Arial"/>
          <w:szCs w:val="24"/>
        </w:rPr>
        <w:t xml:space="preserve"> </w:t>
      </w:r>
      <w:r w:rsidRPr="002A1037">
        <w:rPr>
          <w:rFonts w:cs="Arial"/>
          <w:szCs w:val="24"/>
        </w:rPr>
        <w:t>percent,</w:t>
      </w:r>
      <w:r>
        <w:rPr>
          <w:rFonts w:cs="Arial"/>
          <w:szCs w:val="24"/>
        </w:rPr>
        <w:t xml:space="preserve"> compared to </w:t>
      </w:r>
      <w:r w:rsidRPr="002A1037">
        <w:rPr>
          <w:rFonts w:cs="Arial"/>
          <w:szCs w:val="24"/>
        </w:rPr>
        <w:t>gasoline vehicles.</w:t>
      </w:r>
      <w:r w:rsidRPr="002A1037">
        <w:rPr>
          <w:rStyle w:val="FootnoteReference"/>
          <w:rFonts w:cs="Arial"/>
          <w:szCs w:val="24"/>
        </w:rPr>
        <w:footnoteReference w:id="192"/>
      </w:r>
    </w:p>
    <w:p w:rsidR="00073903" w:rsidRPr="00073903" w:rsidRDefault="00073903" w:rsidP="00073903">
      <w:r w:rsidRPr="002A1037">
        <w:rPr>
          <w:szCs w:val="24"/>
        </w:rPr>
        <w:t>Hydrogen can be produced from many different energy resources, and its lifecycle GHG emissions vary widely depending on how it is produced. Hydrogen fuel cell vehicles reduce GHG emissions by 30 –</w:t>
      </w:r>
      <w:r>
        <w:rPr>
          <w:szCs w:val="24"/>
        </w:rPr>
        <w:t xml:space="preserve"> 55</w:t>
      </w:r>
      <w:r w:rsidRPr="002A1037">
        <w:rPr>
          <w:szCs w:val="24"/>
        </w:rPr>
        <w:t xml:space="preserve"> percent </w:t>
      </w:r>
      <w:r>
        <w:rPr>
          <w:szCs w:val="24"/>
        </w:rPr>
        <w:t>with</w:t>
      </w:r>
      <w:r w:rsidRPr="002A1037">
        <w:rPr>
          <w:szCs w:val="24"/>
        </w:rPr>
        <w:t xml:space="preserve"> hydrogen produced </w:t>
      </w:r>
      <w:r>
        <w:rPr>
          <w:szCs w:val="24"/>
        </w:rPr>
        <w:t>using SMR</w:t>
      </w:r>
      <w:r w:rsidRPr="002A1037">
        <w:rPr>
          <w:szCs w:val="24"/>
        </w:rPr>
        <w:t xml:space="preserve"> </w:t>
      </w:r>
      <w:r>
        <w:rPr>
          <w:szCs w:val="24"/>
        </w:rPr>
        <w:t>(</w:t>
      </w:r>
      <w:r w:rsidRPr="002A1037">
        <w:rPr>
          <w:szCs w:val="24"/>
        </w:rPr>
        <w:t>natural gas</w:t>
      </w:r>
      <w:r>
        <w:rPr>
          <w:szCs w:val="24"/>
        </w:rPr>
        <w:t xml:space="preserve"> feedstock)</w:t>
      </w:r>
      <w:r w:rsidRPr="002A1037">
        <w:rPr>
          <w:szCs w:val="24"/>
        </w:rPr>
        <w:t xml:space="preserve"> and up to 95 percent using hydrogen </w:t>
      </w:r>
      <w:r w:rsidRPr="00073903">
        <w:t>produced from renewable feedstocks.</w:t>
      </w:r>
      <w:r w:rsidRPr="00073903">
        <w:rPr>
          <w:rStyle w:val="FootnoteReference"/>
          <w:rFonts w:cs="Arial"/>
        </w:rPr>
        <w:footnoteReference w:id="193"/>
      </w:r>
    </w:p>
    <w:p w:rsidR="00073903" w:rsidRPr="00073903" w:rsidRDefault="00073903" w:rsidP="00073903">
      <w:pPr>
        <w:rPr>
          <w:szCs w:val="24"/>
        </w:rPr>
      </w:pPr>
      <w:r w:rsidRPr="00073903">
        <w:rPr>
          <w:szCs w:val="24"/>
        </w:rPr>
        <w:t>Ethanol releases GHGs when it is used to power vehicles, but unlike the fossil carbon released by petroleum-based fuels, much of the CO2 released in the combustion on ethanol is offset by the CO2 that was captured by the crops grown to produce ethanol. Corn-based ethanol can reduce lifecycle GHG emissions by up to 52 percent compared to gasoline. The use of cellulosic ethanol, which is produced from plants that are less reliant on petroleum-based fertilizers, could reduce GHG emissions by as much as 86 percent.</w:t>
      </w:r>
      <w:r w:rsidRPr="00073903">
        <w:rPr>
          <w:rStyle w:val="FootnoteReference"/>
          <w:rFonts w:cs="Arial"/>
        </w:rPr>
        <w:footnoteReference w:id="194"/>
      </w:r>
    </w:p>
    <w:p w:rsidR="00073903" w:rsidRDefault="00073903">
      <w:pPr>
        <w:rPr>
          <w:rFonts w:eastAsia="Times New Roman" w:cstheme="minorHAnsi"/>
          <w:b/>
          <w:bCs/>
          <w:caps/>
          <w:color w:val="365F91" w:themeColor="accent1" w:themeShade="BF"/>
          <w:kern w:val="32"/>
          <w:sz w:val="32"/>
          <w:szCs w:val="24"/>
          <w:lang w:val="x-none" w:eastAsia="x-none"/>
        </w:rPr>
      </w:pPr>
      <w:r>
        <w:br w:type="page"/>
      </w:r>
    </w:p>
    <w:p w:rsidR="00073903" w:rsidRPr="008720F3" w:rsidRDefault="00073903" w:rsidP="00073903">
      <w:pPr>
        <w:pStyle w:val="Heading1"/>
      </w:pPr>
      <w:bookmarkStart w:id="79" w:name="_Toc352854224"/>
      <w:r>
        <w:lastRenderedPageBreak/>
        <w:t xml:space="preserve">APPENDIX </w:t>
      </w:r>
      <w:r>
        <w:rPr>
          <w:lang w:val="en-US"/>
        </w:rPr>
        <w:t>C</w:t>
      </w:r>
      <w:r w:rsidRPr="008720F3">
        <w:t>: CALIFORNIA CLEAN FUELS OUTLET REGULATION</w:t>
      </w:r>
      <w:bookmarkEnd w:id="79"/>
    </w:p>
    <w:p w:rsidR="00682BA3" w:rsidRPr="005A7A48" w:rsidRDefault="00682BA3" w:rsidP="005A7A48">
      <w:pPr>
        <w:rPr>
          <w:rFonts w:cs="Arial"/>
          <w:szCs w:val="24"/>
        </w:rPr>
      </w:pPr>
      <w:r w:rsidRPr="005A7A48">
        <w:rPr>
          <w:rFonts w:cs="Arial"/>
          <w:szCs w:val="24"/>
        </w:rPr>
        <w:t xml:space="preserve">In brief, the CFOR mandates that a minimum number of retail fueling stations provide a designated alternative fuel, for a given number of vehicles using that fuel. The station count mandate does not apply until the statewide number of vehicles utilizing a fuel is at least 20,000 vehicles. Station count estimates apply to a </w:t>
      </w:r>
      <w:r w:rsidRPr="005A7A48">
        <w:rPr>
          <w:rFonts w:cs="Arial"/>
          <w:i/>
          <w:szCs w:val="24"/>
        </w:rPr>
        <w:t>compliance year</w:t>
      </w:r>
      <w:r w:rsidRPr="005A7A48">
        <w:rPr>
          <w:rFonts w:cs="Arial"/>
          <w:szCs w:val="24"/>
        </w:rPr>
        <w:t>, defined as the May 1</w:t>
      </w:r>
      <w:r w:rsidRPr="005A7A48">
        <w:rPr>
          <w:rFonts w:cs="Arial"/>
          <w:szCs w:val="24"/>
          <w:vertAlign w:val="superscript"/>
        </w:rPr>
        <w:t>st</w:t>
      </w:r>
      <w:r w:rsidRPr="005A7A48">
        <w:rPr>
          <w:rFonts w:cs="Arial"/>
          <w:szCs w:val="24"/>
        </w:rPr>
        <w:t xml:space="preserve"> through April 30</w:t>
      </w:r>
      <w:r w:rsidRPr="005A7A48">
        <w:rPr>
          <w:rFonts w:cs="Arial"/>
          <w:szCs w:val="24"/>
          <w:vertAlign w:val="superscript"/>
        </w:rPr>
        <w:t>th</w:t>
      </w:r>
      <w:r w:rsidRPr="005A7A48">
        <w:rPr>
          <w:rFonts w:cs="Arial"/>
          <w:szCs w:val="24"/>
        </w:rPr>
        <w:t xml:space="preserve"> period, and are defined no later than 14 months prior to the start of the compliance year.</w:t>
      </w:r>
    </w:p>
    <w:p w:rsidR="00682BA3" w:rsidRPr="005A7A48" w:rsidRDefault="00682BA3" w:rsidP="005A7A48">
      <w:pPr>
        <w:rPr>
          <w:rFonts w:cs="Arial"/>
          <w:szCs w:val="24"/>
        </w:rPr>
      </w:pPr>
      <w:r w:rsidRPr="005A7A48">
        <w:rPr>
          <w:rFonts w:cs="Arial"/>
          <w:szCs w:val="24"/>
        </w:rPr>
        <w:t>Applicable fuels are determined by the Executive Officer of the California Air Resource Board, by review of Department of Motor Vehicle records, and projected production volumes included by manufacturers in their vehicle emissions certification data. For each designated fuel, a fleet size estimate is calculated, according to the following formula:</w:t>
      </w:r>
    </w:p>
    <w:tbl>
      <w:tblPr>
        <w:tblW w:w="8745" w:type="dxa"/>
        <w:tblInd w:w="93" w:type="dxa"/>
        <w:tblLook w:val="04A0" w:firstRow="1" w:lastRow="0" w:firstColumn="1" w:lastColumn="0" w:noHBand="0" w:noVBand="1"/>
      </w:tblPr>
      <w:tblGrid>
        <w:gridCol w:w="995"/>
        <w:gridCol w:w="326"/>
        <w:gridCol w:w="2459"/>
        <w:gridCol w:w="316"/>
        <w:gridCol w:w="2380"/>
        <w:gridCol w:w="316"/>
        <w:gridCol w:w="1953"/>
      </w:tblGrid>
      <w:tr w:rsidR="00682BA3" w:rsidRPr="005A7A48" w:rsidTr="00EC512E">
        <w:trPr>
          <w:trHeight w:val="402"/>
        </w:trPr>
        <w:tc>
          <w:tcPr>
            <w:tcW w:w="996" w:type="dxa"/>
            <w:vMerge w:val="restart"/>
            <w:tcBorders>
              <w:top w:val="nil"/>
              <w:left w:val="nil"/>
              <w:bottom w:val="nil"/>
              <w:right w:val="nil"/>
            </w:tcBorders>
            <w:shd w:val="clear" w:color="000000" w:fill="FFFFFF"/>
            <w:vAlign w:val="center"/>
            <w:hideMark/>
          </w:tcPr>
          <w:p w:rsidR="00682BA3" w:rsidRPr="005A7A48" w:rsidRDefault="00682BA3" w:rsidP="00EC512E">
            <w:pPr>
              <w:spacing w:after="0" w:line="240" w:lineRule="auto"/>
              <w:jc w:val="center"/>
              <w:rPr>
                <w:rFonts w:eastAsia="Times New Roman" w:cs="Arial"/>
                <w:color w:val="000000"/>
                <w:sz w:val="20"/>
              </w:rPr>
            </w:pPr>
            <w:r w:rsidRPr="005A7A48">
              <w:rPr>
                <w:rFonts w:eastAsia="Times New Roman" w:cs="Arial"/>
                <w:color w:val="000000"/>
                <w:sz w:val="20"/>
              </w:rPr>
              <w:t xml:space="preserve">Number </w:t>
            </w:r>
          </w:p>
          <w:p w:rsidR="00682BA3" w:rsidRPr="005A7A48" w:rsidRDefault="00682BA3" w:rsidP="00EC512E">
            <w:pPr>
              <w:spacing w:after="0" w:line="240" w:lineRule="auto"/>
              <w:jc w:val="center"/>
              <w:rPr>
                <w:rFonts w:eastAsia="Times New Roman" w:cs="Arial"/>
                <w:color w:val="000000"/>
                <w:sz w:val="20"/>
              </w:rPr>
            </w:pPr>
            <w:r w:rsidRPr="005A7A48">
              <w:rPr>
                <w:rFonts w:eastAsia="Times New Roman" w:cs="Arial"/>
                <w:color w:val="000000"/>
                <w:sz w:val="20"/>
              </w:rPr>
              <w:t xml:space="preserve">of </w:t>
            </w:r>
          </w:p>
          <w:p w:rsidR="00682BA3" w:rsidRPr="005A7A48" w:rsidRDefault="00682BA3" w:rsidP="00EC512E">
            <w:pPr>
              <w:spacing w:after="0" w:line="240" w:lineRule="auto"/>
              <w:jc w:val="center"/>
              <w:rPr>
                <w:rFonts w:eastAsia="Times New Roman" w:cs="Arial"/>
                <w:color w:val="000000"/>
                <w:sz w:val="20"/>
              </w:rPr>
            </w:pPr>
            <w:r w:rsidRPr="005A7A48">
              <w:rPr>
                <w:rFonts w:eastAsia="Times New Roman" w:cs="Arial"/>
                <w:color w:val="000000"/>
                <w:sz w:val="20"/>
              </w:rPr>
              <w:t>Vehicles</w:t>
            </w:r>
          </w:p>
        </w:tc>
        <w:tc>
          <w:tcPr>
            <w:tcW w:w="326" w:type="dxa"/>
            <w:vMerge w:val="restart"/>
            <w:tcBorders>
              <w:top w:val="nil"/>
              <w:left w:val="nil"/>
              <w:bottom w:val="nil"/>
              <w:right w:val="nil"/>
            </w:tcBorders>
            <w:shd w:val="clear" w:color="000000" w:fill="FFFFFF"/>
            <w:noWrap/>
            <w:vAlign w:val="center"/>
            <w:hideMark/>
          </w:tcPr>
          <w:p w:rsidR="00682BA3" w:rsidRPr="005A7A48" w:rsidRDefault="00682BA3" w:rsidP="00EC512E">
            <w:pPr>
              <w:spacing w:after="0" w:line="240" w:lineRule="auto"/>
              <w:jc w:val="center"/>
              <w:rPr>
                <w:rFonts w:eastAsia="Times New Roman" w:cs="Arial"/>
                <w:color w:val="000000"/>
                <w:sz w:val="20"/>
              </w:rPr>
            </w:pPr>
            <w:r w:rsidRPr="005A7A48">
              <w:rPr>
                <w:rFonts w:eastAsia="Times New Roman" w:cs="Arial"/>
                <w:color w:val="000000"/>
                <w:sz w:val="20"/>
              </w:rPr>
              <w:t>=</w:t>
            </w:r>
          </w:p>
        </w:tc>
        <w:tc>
          <w:tcPr>
            <w:tcW w:w="2459" w:type="dxa"/>
            <w:vMerge w:val="restart"/>
            <w:tcBorders>
              <w:top w:val="nil"/>
              <w:left w:val="nil"/>
              <w:bottom w:val="single" w:sz="4" w:space="0" w:color="000000"/>
              <w:right w:val="nil"/>
            </w:tcBorders>
            <w:shd w:val="clear" w:color="000000" w:fill="FFFFFF"/>
            <w:vAlign w:val="center"/>
            <w:hideMark/>
          </w:tcPr>
          <w:p w:rsidR="00682BA3" w:rsidRPr="005A7A48" w:rsidRDefault="00682BA3" w:rsidP="00EC512E">
            <w:pPr>
              <w:spacing w:after="0" w:line="240" w:lineRule="auto"/>
              <w:jc w:val="center"/>
              <w:rPr>
                <w:rFonts w:eastAsia="Times New Roman" w:cs="Arial"/>
                <w:color w:val="000000"/>
                <w:sz w:val="20"/>
              </w:rPr>
            </w:pPr>
            <w:r w:rsidRPr="005A7A48">
              <w:rPr>
                <w:rFonts w:eastAsia="Times New Roman" w:cs="Arial"/>
                <w:color w:val="000000"/>
                <w:sz w:val="20"/>
              </w:rPr>
              <w:t xml:space="preserve">(Projected Sales for Corresponding Model Year </w:t>
            </w:r>
          </w:p>
          <w:p w:rsidR="00682BA3" w:rsidRPr="005A7A48" w:rsidRDefault="00682BA3" w:rsidP="00EC512E">
            <w:pPr>
              <w:spacing w:after="0" w:line="240" w:lineRule="auto"/>
              <w:jc w:val="center"/>
              <w:rPr>
                <w:rFonts w:eastAsia="Times New Roman" w:cs="Arial"/>
                <w:color w:val="000000"/>
                <w:sz w:val="20"/>
              </w:rPr>
            </w:pPr>
            <w:r w:rsidRPr="005A7A48">
              <w:rPr>
                <w:rFonts w:eastAsia="Times New Roman" w:cs="Arial"/>
                <w:color w:val="000000"/>
                <w:sz w:val="20"/>
              </w:rPr>
              <w:t xml:space="preserve">+ </w:t>
            </w:r>
          </w:p>
          <w:p w:rsidR="00682BA3" w:rsidRPr="005A7A48" w:rsidRDefault="00682BA3" w:rsidP="00EC512E">
            <w:pPr>
              <w:spacing w:after="0" w:line="240" w:lineRule="auto"/>
              <w:jc w:val="center"/>
              <w:rPr>
                <w:rFonts w:eastAsia="Times New Roman" w:cs="Arial"/>
                <w:color w:val="000000"/>
                <w:sz w:val="20"/>
              </w:rPr>
            </w:pPr>
            <w:r w:rsidRPr="005A7A48">
              <w:rPr>
                <w:rFonts w:eastAsia="Times New Roman" w:cs="Arial"/>
                <w:color w:val="000000"/>
                <w:sz w:val="20"/>
              </w:rPr>
              <w:t>Sales for Previous Model Year)</w:t>
            </w:r>
          </w:p>
        </w:tc>
        <w:tc>
          <w:tcPr>
            <w:tcW w:w="306" w:type="dxa"/>
            <w:vMerge w:val="restart"/>
            <w:tcBorders>
              <w:top w:val="nil"/>
              <w:left w:val="nil"/>
              <w:bottom w:val="nil"/>
              <w:right w:val="nil"/>
            </w:tcBorders>
            <w:shd w:val="clear" w:color="000000" w:fill="FFFFFF"/>
            <w:noWrap/>
            <w:vAlign w:val="center"/>
            <w:hideMark/>
          </w:tcPr>
          <w:p w:rsidR="00682BA3" w:rsidRPr="005A7A48" w:rsidRDefault="00682BA3" w:rsidP="00EC512E">
            <w:pPr>
              <w:spacing w:after="0" w:line="240" w:lineRule="auto"/>
              <w:jc w:val="center"/>
              <w:rPr>
                <w:rFonts w:eastAsia="Times New Roman" w:cs="Arial"/>
                <w:color w:val="000000"/>
                <w:sz w:val="20"/>
              </w:rPr>
            </w:pPr>
            <w:r w:rsidRPr="005A7A48">
              <w:rPr>
                <w:rFonts w:eastAsia="Times New Roman" w:cs="Arial"/>
                <w:color w:val="000000"/>
                <w:sz w:val="20"/>
              </w:rPr>
              <w:t>+</w:t>
            </w:r>
          </w:p>
        </w:tc>
        <w:tc>
          <w:tcPr>
            <w:tcW w:w="2380" w:type="dxa"/>
            <w:vMerge w:val="restart"/>
            <w:tcBorders>
              <w:top w:val="nil"/>
              <w:left w:val="nil"/>
              <w:bottom w:val="single" w:sz="4" w:space="0" w:color="000000"/>
              <w:right w:val="nil"/>
            </w:tcBorders>
            <w:shd w:val="clear" w:color="000000" w:fill="FFFFFF"/>
            <w:vAlign w:val="bottom"/>
            <w:hideMark/>
          </w:tcPr>
          <w:p w:rsidR="00682BA3" w:rsidRPr="005A7A48" w:rsidRDefault="00682BA3" w:rsidP="00EC512E">
            <w:pPr>
              <w:spacing w:after="0" w:line="240" w:lineRule="auto"/>
              <w:jc w:val="center"/>
              <w:rPr>
                <w:rFonts w:eastAsia="Times New Roman" w:cs="Arial"/>
                <w:color w:val="000000"/>
                <w:sz w:val="20"/>
              </w:rPr>
            </w:pPr>
            <w:r w:rsidRPr="005A7A48">
              <w:rPr>
                <w:rFonts w:eastAsia="Times New Roman" w:cs="Arial"/>
                <w:color w:val="000000"/>
                <w:sz w:val="20"/>
              </w:rPr>
              <w:t>Sales Two Model Years Prior</w:t>
            </w:r>
          </w:p>
        </w:tc>
        <w:tc>
          <w:tcPr>
            <w:tcW w:w="316" w:type="dxa"/>
            <w:vMerge w:val="restart"/>
            <w:tcBorders>
              <w:top w:val="nil"/>
              <w:left w:val="nil"/>
              <w:bottom w:val="nil"/>
              <w:right w:val="nil"/>
            </w:tcBorders>
            <w:shd w:val="clear" w:color="000000" w:fill="FFFFFF"/>
            <w:noWrap/>
            <w:vAlign w:val="center"/>
            <w:hideMark/>
          </w:tcPr>
          <w:p w:rsidR="00682BA3" w:rsidRPr="005A7A48" w:rsidRDefault="00682BA3" w:rsidP="00EC512E">
            <w:pPr>
              <w:spacing w:after="0" w:line="240" w:lineRule="auto"/>
              <w:jc w:val="center"/>
              <w:rPr>
                <w:rFonts w:eastAsia="Times New Roman" w:cs="Arial"/>
                <w:color w:val="000000"/>
                <w:sz w:val="20"/>
              </w:rPr>
            </w:pPr>
            <w:r w:rsidRPr="005A7A48">
              <w:rPr>
                <w:rFonts w:eastAsia="Times New Roman" w:cs="Arial"/>
                <w:color w:val="000000"/>
                <w:sz w:val="20"/>
              </w:rPr>
              <w:t>+</w:t>
            </w:r>
          </w:p>
        </w:tc>
        <w:tc>
          <w:tcPr>
            <w:tcW w:w="1962" w:type="dxa"/>
            <w:vMerge w:val="restart"/>
            <w:tcBorders>
              <w:top w:val="nil"/>
              <w:left w:val="nil"/>
              <w:bottom w:val="nil"/>
              <w:right w:val="nil"/>
            </w:tcBorders>
            <w:shd w:val="clear" w:color="000000" w:fill="FFFFFF"/>
            <w:vAlign w:val="center"/>
            <w:hideMark/>
          </w:tcPr>
          <w:p w:rsidR="00682BA3" w:rsidRPr="005A7A48" w:rsidRDefault="00682BA3" w:rsidP="00EC512E">
            <w:pPr>
              <w:spacing w:after="0" w:line="240" w:lineRule="auto"/>
              <w:jc w:val="center"/>
              <w:rPr>
                <w:rFonts w:eastAsia="Times New Roman" w:cs="Arial"/>
                <w:color w:val="000000"/>
                <w:sz w:val="20"/>
              </w:rPr>
            </w:pPr>
            <w:r w:rsidRPr="005A7A48">
              <w:rPr>
                <w:rFonts w:eastAsia="Times New Roman" w:cs="Arial"/>
                <w:color w:val="000000"/>
                <w:sz w:val="20"/>
              </w:rPr>
              <w:t>Total Vehicles Using the Fuel, Registered with the DMV as of July 30th, Two Years Prior</w:t>
            </w:r>
          </w:p>
        </w:tc>
      </w:tr>
      <w:tr w:rsidR="00682BA3" w:rsidRPr="008720F3" w:rsidTr="00EC512E">
        <w:trPr>
          <w:trHeight w:val="402"/>
        </w:trPr>
        <w:tc>
          <w:tcPr>
            <w:tcW w:w="996" w:type="dxa"/>
            <w:vMerge/>
            <w:tcBorders>
              <w:top w:val="nil"/>
              <w:left w:val="nil"/>
              <w:bottom w:val="nil"/>
              <w:right w:val="nil"/>
            </w:tcBorders>
            <w:vAlign w:val="center"/>
            <w:hideMark/>
          </w:tcPr>
          <w:p w:rsidR="00682BA3" w:rsidRPr="008720F3" w:rsidRDefault="00682BA3" w:rsidP="00EC512E">
            <w:pPr>
              <w:spacing w:after="0" w:line="240" w:lineRule="auto"/>
              <w:rPr>
                <w:rFonts w:eastAsia="Times New Roman" w:cs="Arial"/>
                <w:color w:val="000000"/>
                <w:sz w:val="20"/>
                <w:szCs w:val="20"/>
              </w:rPr>
            </w:pPr>
          </w:p>
        </w:tc>
        <w:tc>
          <w:tcPr>
            <w:tcW w:w="326" w:type="dxa"/>
            <w:vMerge/>
            <w:tcBorders>
              <w:top w:val="nil"/>
              <w:left w:val="nil"/>
              <w:bottom w:val="nil"/>
              <w:right w:val="nil"/>
            </w:tcBorders>
            <w:vAlign w:val="center"/>
            <w:hideMark/>
          </w:tcPr>
          <w:p w:rsidR="00682BA3" w:rsidRPr="008720F3" w:rsidRDefault="00682BA3" w:rsidP="00EC512E">
            <w:pPr>
              <w:spacing w:after="0" w:line="240" w:lineRule="auto"/>
              <w:rPr>
                <w:rFonts w:eastAsia="Times New Roman" w:cs="Arial"/>
                <w:color w:val="000000"/>
              </w:rPr>
            </w:pPr>
          </w:p>
        </w:tc>
        <w:tc>
          <w:tcPr>
            <w:tcW w:w="2459" w:type="dxa"/>
            <w:vMerge/>
            <w:tcBorders>
              <w:top w:val="nil"/>
              <w:left w:val="nil"/>
              <w:bottom w:val="single" w:sz="4" w:space="0" w:color="000000"/>
              <w:right w:val="nil"/>
            </w:tcBorders>
            <w:vAlign w:val="center"/>
            <w:hideMark/>
          </w:tcPr>
          <w:p w:rsidR="00682BA3" w:rsidRPr="008720F3" w:rsidRDefault="00682BA3" w:rsidP="00EC512E">
            <w:pPr>
              <w:spacing w:after="0" w:line="240" w:lineRule="auto"/>
              <w:rPr>
                <w:rFonts w:eastAsia="Times New Roman" w:cs="Arial"/>
                <w:color w:val="000000"/>
                <w:sz w:val="16"/>
                <w:szCs w:val="16"/>
              </w:rPr>
            </w:pPr>
          </w:p>
        </w:tc>
        <w:tc>
          <w:tcPr>
            <w:tcW w:w="306" w:type="dxa"/>
            <w:vMerge/>
            <w:tcBorders>
              <w:top w:val="nil"/>
              <w:left w:val="nil"/>
              <w:bottom w:val="nil"/>
              <w:right w:val="nil"/>
            </w:tcBorders>
            <w:vAlign w:val="center"/>
            <w:hideMark/>
          </w:tcPr>
          <w:p w:rsidR="00682BA3" w:rsidRPr="008720F3" w:rsidRDefault="00682BA3" w:rsidP="00EC512E">
            <w:pPr>
              <w:spacing w:after="0" w:line="240" w:lineRule="auto"/>
              <w:rPr>
                <w:rFonts w:eastAsia="Times New Roman" w:cs="Arial"/>
                <w:color w:val="000000"/>
                <w:sz w:val="20"/>
                <w:szCs w:val="20"/>
              </w:rPr>
            </w:pPr>
          </w:p>
        </w:tc>
        <w:tc>
          <w:tcPr>
            <w:tcW w:w="2380" w:type="dxa"/>
            <w:vMerge/>
            <w:tcBorders>
              <w:top w:val="nil"/>
              <w:left w:val="nil"/>
              <w:bottom w:val="single" w:sz="4" w:space="0" w:color="000000"/>
              <w:right w:val="nil"/>
            </w:tcBorders>
            <w:vAlign w:val="center"/>
            <w:hideMark/>
          </w:tcPr>
          <w:p w:rsidR="00682BA3" w:rsidRPr="008720F3" w:rsidRDefault="00682BA3" w:rsidP="00EC512E">
            <w:pPr>
              <w:spacing w:after="0" w:line="240" w:lineRule="auto"/>
              <w:rPr>
                <w:rFonts w:eastAsia="Times New Roman" w:cs="Arial"/>
                <w:color w:val="000000"/>
                <w:sz w:val="16"/>
                <w:szCs w:val="16"/>
              </w:rPr>
            </w:pPr>
          </w:p>
        </w:tc>
        <w:tc>
          <w:tcPr>
            <w:tcW w:w="316" w:type="dxa"/>
            <w:vMerge/>
            <w:tcBorders>
              <w:top w:val="nil"/>
              <w:left w:val="nil"/>
              <w:bottom w:val="nil"/>
              <w:right w:val="nil"/>
            </w:tcBorders>
            <w:vAlign w:val="center"/>
            <w:hideMark/>
          </w:tcPr>
          <w:p w:rsidR="00682BA3" w:rsidRPr="008720F3" w:rsidRDefault="00682BA3" w:rsidP="00EC512E">
            <w:pPr>
              <w:spacing w:after="0" w:line="240" w:lineRule="auto"/>
              <w:rPr>
                <w:rFonts w:eastAsia="Times New Roman" w:cs="Arial"/>
                <w:color w:val="000000"/>
                <w:sz w:val="20"/>
                <w:szCs w:val="20"/>
              </w:rPr>
            </w:pPr>
          </w:p>
        </w:tc>
        <w:tc>
          <w:tcPr>
            <w:tcW w:w="1962" w:type="dxa"/>
            <w:vMerge/>
            <w:tcBorders>
              <w:top w:val="nil"/>
              <w:left w:val="nil"/>
              <w:bottom w:val="nil"/>
              <w:right w:val="nil"/>
            </w:tcBorders>
            <w:vAlign w:val="center"/>
            <w:hideMark/>
          </w:tcPr>
          <w:p w:rsidR="00682BA3" w:rsidRPr="008720F3" w:rsidRDefault="00682BA3" w:rsidP="00EC512E">
            <w:pPr>
              <w:spacing w:after="0" w:line="240" w:lineRule="auto"/>
              <w:rPr>
                <w:rFonts w:eastAsia="Times New Roman" w:cs="Arial"/>
                <w:color w:val="000000"/>
                <w:sz w:val="16"/>
                <w:szCs w:val="16"/>
              </w:rPr>
            </w:pPr>
          </w:p>
        </w:tc>
      </w:tr>
      <w:tr w:rsidR="00682BA3" w:rsidRPr="008720F3" w:rsidTr="00EC512E">
        <w:trPr>
          <w:trHeight w:val="402"/>
        </w:trPr>
        <w:tc>
          <w:tcPr>
            <w:tcW w:w="996" w:type="dxa"/>
            <w:vMerge/>
            <w:tcBorders>
              <w:top w:val="nil"/>
              <w:left w:val="nil"/>
              <w:bottom w:val="nil"/>
              <w:right w:val="nil"/>
            </w:tcBorders>
            <w:vAlign w:val="center"/>
            <w:hideMark/>
          </w:tcPr>
          <w:p w:rsidR="00682BA3" w:rsidRPr="008720F3" w:rsidRDefault="00682BA3" w:rsidP="00EC512E">
            <w:pPr>
              <w:spacing w:after="0" w:line="240" w:lineRule="auto"/>
              <w:rPr>
                <w:rFonts w:eastAsia="Times New Roman" w:cs="Arial"/>
                <w:color w:val="000000"/>
                <w:sz w:val="20"/>
                <w:szCs w:val="20"/>
              </w:rPr>
            </w:pPr>
          </w:p>
        </w:tc>
        <w:tc>
          <w:tcPr>
            <w:tcW w:w="326" w:type="dxa"/>
            <w:vMerge/>
            <w:tcBorders>
              <w:top w:val="nil"/>
              <w:left w:val="nil"/>
              <w:bottom w:val="nil"/>
              <w:right w:val="nil"/>
            </w:tcBorders>
            <w:vAlign w:val="center"/>
            <w:hideMark/>
          </w:tcPr>
          <w:p w:rsidR="00682BA3" w:rsidRPr="008720F3" w:rsidRDefault="00682BA3" w:rsidP="00EC512E">
            <w:pPr>
              <w:spacing w:after="0" w:line="240" w:lineRule="auto"/>
              <w:rPr>
                <w:rFonts w:eastAsia="Times New Roman" w:cs="Arial"/>
                <w:color w:val="000000"/>
              </w:rPr>
            </w:pPr>
          </w:p>
        </w:tc>
        <w:tc>
          <w:tcPr>
            <w:tcW w:w="2459" w:type="dxa"/>
            <w:tcBorders>
              <w:top w:val="nil"/>
              <w:left w:val="nil"/>
              <w:bottom w:val="nil"/>
              <w:right w:val="nil"/>
            </w:tcBorders>
            <w:shd w:val="clear" w:color="000000" w:fill="FFFFFF"/>
            <w:noWrap/>
            <w:vAlign w:val="center"/>
            <w:hideMark/>
          </w:tcPr>
          <w:p w:rsidR="00682BA3" w:rsidRPr="008720F3" w:rsidRDefault="00682BA3" w:rsidP="00EC512E">
            <w:pPr>
              <w:spacing w:after="0" w:line="240" w:lineRule="auto"/>
              <w:jc w:val="center"/>
              <w:rPr>
                <w:rFonts w:eastAsia="Times New Roman" w:cs="Arial"/>
                <w:color w:val="000000"/>
                <w:sz w:val="18"/>
                <w:szCs w:val="20"/>
              </w:rPr>
            </w:pPr>
            <w:r w:rsidRPr="008720F3">
              <w:rPr>
                <w:rFonts w:eastAsia="Times New Roman" w:cs="Arial"/>
                <w:color w:val="000000"/>
                <w:sz w:val="18"/>
                <w:szCs w:val="20"/>
              </w:rPr>
              <w:t>2</w:t>
            </w:r>
          </w:p>
        </w:tc>
        <w:tc>
          <w:tcPr>
            <w:tcW w:w="306" w:type="dxa"/>
            <w:vMerge/>
            <w:tcBorders>
              <w:top w:val="nil"/>
              <w:left w:val="nil"/>
              <w:bottom w:val="nil"/>
              <w:right w:val="nil"/>
            </w:tcBorders>
            <w:vAlign w:val="center"/>
            <w:hideMark/>
          </w:tcPr>
          <w:p w:rsidR="00682BA3" w:rsidRPr="008720F3" w:rsidRDefault="00682BA3" w:rsidP="00EC512E">
            <w:pPr>
              <w:spacing w:after="0" w:line="240" w:lineRule="auto"/>
              <w:rPr>
                <w:rFonts w:eastAsia="Times New Roman" w:cs="Arial"/>
                <w:color w:val="000000"/>
                <w:sz w:val="18"/>
                <w:szCs w:val="20"/>
              </w:rPr>
            </w:pPr>
          </w:p>
        </w:tc>
        <w:tc>
          <w:tcPr>
            <w:tcW w:w="2380" w:type="dxa"/>
            <w:tcBorders>
              <w:top w:val="nil"/>
              <w:left w:val="nil"/>
              <w:bottom w:val="nil"/>
              <w:right w:val="nil"/>
            </w:tcBorders>
            <w:shd w:val="clear" w:color="000000" w:fill="FFFFFF"/>
            <w:noWrap/>
            <w:vAlign w:val="center"/>
            <w:hideMark/>
          </w:tcPr>
          <w:p w:rsidR="00682BA3" w:rsidRPr="008720F3" w:rsidRDefault="00682BA3" w:rsidP="00EC512E">
            <w:pPr>
              <w:spacing w:after="0" w:line="240" w:lineRule="auto"/>
              <w:jc w:val="center"/>
              <w:rPr>
                <w:rFonts w:eastAsia="Times New Roman" w:cs="Arial"/>
                <w:color w:val="000000"/>
                <w:sz w:val="18"/>
                <w:szCs w:val="20"/>
              </w:rPr>
            </w:pPr>
            <w:r w:rsidRPr="008720F3">
              <w:rPr>
                <w:rFonts w:eastAsia="Times New Roman" w:cs="Arial"/>
                <w:color w:val="000000"/>
                <w:sz w:val="18"/>
                <w:szCs w:val="20"/>
              </w:rPr>
              <w:t>6</w:t>
            </w:r>
          </w:p>
        </w:tc>
        <w:tc>
          <w:tcPr>
            <w:tcW w:w="316" w:type="dxa"/>
            <w:vMerge/>
            <w:tcBorders>
              <w:top w:val="nil"/>
              <w:left w:val="nil"/>
              <w:bottom w:val="nil"/>
              <w:right w:val="nil"/>
            </w:tcBorders>
            <w:vAlign w:val="center"/>
            <w:hideMark/>
          </w:tcPr>
          <w:p w:rsidR="00682BA3" w:rsidRPr="008720F3" w:rsidRDefault="00682BA3" w:rsidP="00EC512E">
            <w:pPr>
              <w:spacing w:after="0" w:line="240" w:lineRule="auto"/>
              <w:rPr>
                <w:rFonts w:eastAsia="Times New Roman" w:cs="Arial"/>
                <w:color w:val="000000"/>
                <w:sz w:val="18"/>
                <w:szCs w:val="20"/>
              </w:rPr>
            </w:pPr>
          </w:p>
        </w:tc>
        <w:tc>
          <w:tcPr>
            <w:tcW w:w="1962" w:type="dxa"/>
            <w:vMerge/>
            <w:tcBorders>
              <w:top w:val="nil"/>
              <w:left w:val="nil"/>
              <w:bottom w:val="nil"/>
              <w:right w:val="nil"/>
            </w:tcBorders>
            <w:vAlign w:val="center"/>
            <w:hideMark/>
          </w:tcPr>
          <w:p w:rsidR="00682BA3" w:rsidRPr="008720F3" w:rsidRDefault="00682BA3" w:rsidP="00EC512E">
            <w:pPr>
              <w:spacing w:after="0" w:line="240" w:lineRule="auto"/>
              <w:rPr>
                <w:rFonts w:eastAsia="Times New Roman" w:cs="Arial"/>
                <w:color w:val="000000"/>
                <w:sz w:val="18"/>
                <w:szCs w:val="16"/>
              </w:rPr>
            </w:pPr>
          </w:p>
        </w:tc>
      </w:tr>
    </w:tbl>
    <w:p w:rsidR="00682BA3" w:rsidRPr="008720F3" w:rsidRDefault="00682BA3" w:rsidP="00D1692C">
      <w:pPr>
        <w:rPr>
          <w:rFonts w:cs="Arial"/>
        </w:rPr>
      </w:pPr>
    </w:p>
    <w:p w:rsidR="00682BA3" w:rsidRPr="005A7A48" w:rsidRDefault="00682BA3" w:rsidP="00D1692C">
      <w:pPr>
        <w:rPr>
          <w:rFonts w:cs="Arial"/>
          <w:szCs w:val="24"/>
        </w:rPr>
      </w:pPr>
      <w:r w:rsidRPr="005A7A48">
        <w:rPr>
          <w:rFonts w:cs="Arial"/>
          <w:szCs w:val="24"/>
        </w:rPr>
        <w:t xml:space="preserve">Provided an estimate of at least 20,000 </w:t>
      </w:r>
      <w:r w:rsidR="00715731" w:rsidRPr="005A7A48">
        <w:rPr>
          <w:rFonts w:cs="Arial"/>
          <w:szCs w:val="24"/>
        </w:rPr>
        <w:t>vehicles, the process continues</w:t>
      </w:r>
      <w:r w:rsidRPr="005A7A48">
        <w:rPr>
          <w:rFonts w:cs="Arial"/>
          <w:szCs w:val="24"/>
        </w:rPr>
        <w:t xml:space="preserve"> to determination of the </w:t>
      </w:r>
      <w:r w:rsidRPr="005A7A48">
        <w:rPr>
          <w:rFonts w:cs="Arial"/>
          <w:i/>
          <w:szCs w:val="24"/>
        </w:rPr>
        <w:t>Total Projected Maximum Volume</w:t>
      </w:r>
      <w:r w:rsidR="00715731" w:rsidRPr="005A7A48">
        <w:rPr>
          <w:rFonts w:cs="Arial"/>
          <w:szCs w:val="24"/>
        </w:rPr>
        <w:t xml:space="preserve"> (TPMV), </w:t>
      </w:r>
      <w:r w:rsidRPr="005A7A48">
        <w:rPr>
          <w:rFonts w:cs="Arial"/>
          <w:szCs w:val="24"/>
        </w:rPr>
        <w:t>essentially, an estimate of maximum demand for the alternative fuel.</w:t>
      </w:r>
    </w:p>
    <w:p w:rsidR="00682BA3" w:rsidRPr="005A7A48" w:rsidRDefault="00682BA3" w:rsidP="00D1692C">
      <w:pPr>
        <w:rPr>
          <w:rFonts w:cs="Arial"/>
          <w:szCs w:val="24"/>
        </w:rPr>
      </w:pPr>
      <w:r w:rsidRPr="005A7A48">
        <w:rPr>
          <w:rFonts w:cs="Arial"/>
          <w:szCs w:val="24"/>
        </w:rPr>
        <w:t xml:space="preserve">The TPMV is determined as the sum of the </w:t>
      </w:r>
      <w:r w:rsidRPr="005A7A48">
        <w:rPr>
          <w:rFonts w:cs="Arial"/>
          <w:i/>
          <w:szCs w:val="24"/>
        </w:rPr>
        <w:t>Maximum Demand Volumes</w:t>
      </w:r>
      <w:r w:rsidRPr="005A7A48">
        <w:rPr>
          <w:rFonts w:cs="Arial"/>
          <w:szCs w:val="24"/>
        </w:rPr>
        <w:t xml:space="preserve"> (MXDV), which are calculated separately for each model year and vehicle class. Model years considered are 1994 through the model year corresponding to the compliance year for which station count numbers are being calculated. Vehicle classes considered are passenger cars, light-duty trucks, and medium-duty vehicles. TPMV and MXDV are measured in gasoline-equivalent gallons per year for liquid fuels and in therms per year, for gaseous fuels.</w:t>
      </w:r>
    </w:p>
    <w:p w:rsidR="0050120B" w:rsidRPr="005A7A48" w:rsidRDefault="00682BA3" w:rsidP="00D1692C">
      <w:pPr>
        <w:rPr>
          <w:rFonts w:cs="Arial"/>
          <w:szCs w:val="24"/>
        </w:rPr>
      </w:pPr>
      <w:r w:rsidRPr="005A7A48">
        <w:rPr>
          <w:rFonts w:cs="Arial"/>
          <w:szCs w:val="24"/>
        </w:rPr>
        <w:t xml:space="preserve">For a given fuel, vehicle class and model year, the MXDV is calculated as the number of vehicles within that class and model year, using that fuel, multiplied by the average annual vehicle miles traveled of that group, with this product divided by the average fuel economy of that group. Thus, for a given fuel type, the TPMV is given by </w:t>
      </w:r>
      <w:r w:rsidR="0050120B" w:rsidRPr="005A7A48">
        <w:rPr>
          <w:rFonts w:cs="Arial"/>
          <w:szCs w:val="24"/>
        </w:rPr>
        <w:t xml:space="preserve">the </w:t>
      </w:r>
      <w:r w:rsidRPr="005A7A48">
        <w:rPr>
          <w:rFonts w:cs="Arial"/>
          <w:szCs w:val="24"/>
        </w:rPr>
        <w:t>expression</w:t>
      </w:r>
      <w:r w:rsidR="0050120B" w:rsidRPr="005A7A48">
        <w:rPr>
          <w:rFonts w:cs="Arial"/>
          <w:szCs w:val="24"/>
        </w:rPr>
        <w:t xml:space="preserve"> on the following page.</w:t>
      </w:r>
    </w:p>
    <w:p w:rsidR="0050120B" w:rsidRPr="005A7A48" w:rsidRDefault="0050120B" w:rsidP="00D1692C">
      <w:pPr>
        <w:rPr>
          <w:rFonts w:ascii="Arial" w:hAnsi="Arial" w:cs="Arial"/>
          <w:szCs w:val="24"/>
        </w:rPr>
      </w:pPr>
      <w:r w:rsidRPr="005A7A48">
        <w:rPr>
          <w:rFonts w:ascii="Arial" w:hAnsi="Arial" w:cs="Arial"/>
          <w:szCs w:val="24"/>
        </w:rPr>
        <w:br w:type="page"/>
      </w:r>
    </w:p>
    <w:p w:rsidR="00682BA3" w:rsidRPr="003C597E" w:rsidRDefault="00682BA3" w:rsidP="00682BA3">
      <w:pPr>
        <w:rPr>
          <w:rFonts w:ascii="Arial" w:hAnsi="Arial" w:cs="Arial"/>
          <w:sz w:val="24"/>
          <w:szCs w:val="24"/>
        </w:rPr>
      </w:pPr>
    </w:p>
    <w:p w:rsidR="00682BA3" w:rsidRPr="00D1692C" w:rsidRDefault="00682BA3" w:rsidP="00682BA3">
      <w:pPr>
        <w:spacing w:after="0" w:line="240" w:lineRule="auto"/>
        <w:rPr>
          <w:rFonts w:ascii="Arial" w:hAnsi="Arial" w:cs="Arial"/>
          <w:sz w:val="20"/>
        </w:rPr>
      </w:pPr>
      <m:oMathPara>
        <m:oMath>
          <m:r>
            <m:rPr>
              <m:sty m:val="p"/>
            </m:rPr>
            <w:rPr>
              <w:rFonts w:ascii="Cambria Math" w:hAnsi="Cambria Math" w:cs="Arial"/>
              <w:sz w:val="20"/>
            </w:rPr>
            <m:t xml:space="preserve">TPMV= </m:t>
          </m:r>
          <m:nary>
            <m:naryPr>
              <m:chr m:val="∑"/>
              <m:limLoc m:val="undOvr"/>
              <m:ctrlPr>
                <w:rPr>
                  <w:rFonts w:ascii="Cambria Math" w:hAnsi="Cambria Math" w:cs="Arial"/>
                  <w:sz w:val="20"/>
                </w:rPr>
              </m:ctrlPr>
            </m:naryPr>
            <m:sub>
              <m:r>
                <m:rPr>
                  <m:sty m:val="p"/>
                </m:rPr>
                <w:rPr>
                  <w:rFonts w:ascii="Cambria Math" w:hAnsi="Cambria Math" w:cs="Arial"/>
                  <w:sz w:val="20"/>
                </w:rPr>
                <m:t>i=1</m:t>
              </m:r>
            </m:sub>
            <m:sup>
              <m:r>
                <m:rPr>
                  <m:sty m:val="p"/>
                </m:rPr>
                <w:rPr>
                  <w:rFonts w:ascii="Cambria Math" w:hAnsi="Cambria Math" w:cs="Arial"/>
                  <w:sz w:val="20"/>
                </w:rPr>
                <m:t>MY</m:t>
              </m:r>
            </m:sup>
            <m:e>
              <m:f>
                <m:fPr>
                  <m:ctrlPr>
                    <w:rPr>
                      <w:rFonts w:ascii="Cambria Math" w:hAnsi="Cambria Math" w:cs="Arial"/>
                      <w:sz w:val="20"/>
                    </w:rPr>
                  </m:ctrlPr>
                </m:fPr>
                <m:num>
                  <m:sSub>
                    <m:sSubPr>
                      <m:ctrlPr>
                        <w:rPr>
                          <w:rFonts w:ascii="Cambria Math" w:hAnsi="Cambria Math" w:cs="Arial"/>
                          <w:sz w:val="20"/>
                        </w:rPr>
                      </m:ctrlPr>
                    </m:sSubPr>
                    <m:e>
                      <m:r>
                        <m:rPr>
                          <m:sty m:val="p"/>
                        </m:rPr>
                        <w:rPr>
                          <w:rFonts w:ascii="Cambria Math" w:hAnsi="Cambria Math" w:cs="Arial"/>
                          <w:sz w:val="20"/>
                        </w:rPr>
                        <m:t>PC</m:t>
                      </m:r>
                    </m:e>
                    <m:sub>
                      <m:r>
                        <m:rPr>
                          <m:sty m:val="p"/>
                        </m:rPr>
                        <w:rPr>
                          <w:rFonts w:ascii="Cambria Math" w:hAnsi="Cambria Math" w:cs="Arial"/>
                          <w:sz w:val="20"/>
                        </w:rPr>
                        <m:t>MY</m:t>
                      </m:r>
                    </m:sub>
                  </m:sSub>
                  <m:r>
                    <m:rPr>
                      <m:sty m:val="p"/>
                    </m:rPr>
                    <w:rPr>
                      <w:rFonts w:ascii="Cambria Math" w:hAnsi="Cambria Math" w:cs="Arial"/>
                      <w:sz w:val="20"/>
                    </w:rPr>
                    <m:t>*</m:t>
                  </m:r>
                  <m:sSub>
                    <m:sSubPr>
                      <m:ctrlPr>
                        <w:rPr>
                          <w:rFonts w:ascii="Cambria Math" w:hAnsi="Cambria Math" w:cs="Arial"/>
                          <w:sz w:val="20"/>
                        </w:rPr>
                      </m:ctrlPr>
                    </m:sSubPr>
                    <m:e>
                      <m:r>
                        <m:rPr>
                          <m:sty m:val="p"/>
                        </m:rPr>
                        <w:rPr>
                          <w:rFonts w:ascii="Cambria Math" w:hAnsi="Cambria Math" w:cs="Arial"/>
                          <w:sz w:val="20"/>
                        </w:rPr>
                        <m:t>AVMT</m:t>
                      </m:r>
                    </m:e>
                    <m:sub>
                      <m:r>
                        <m:rPr>
                          <m:sty m:val="p"/>
                        </m:rPr>
                        <w:rPr>
                          <w:rFonts w:ascii="Cambria Math" w:hAnsi="Cambria Math" w:cs="Arial"/>
                          <w:sz w:val="20"/>
                        </w:rPr>
                        <m:t>PC, MY</m:t>
                      </m:r>
                    </m:sub>
                  </m:sSub>
                </m:num>
                <m:den>
                  <m:sSub>
                    <m:sSubPr>
                      <m:ctrlPr>
                        <w:rPr>
                          <w:rFonts w:ascii="Cambria Math" w:hAnsi="Cambria Math" w:cs="Arial"/>
                          <w:sz w:val="20"/>
                        </w:rPr>
                      </m:ctrlPr>
                    </m:sSubPr>
                    <m:e>
                      <m:r>
                        <m:rPr>
                          <m:sty m:val="p"/>
                        </m:rPr>
                        <w:rPr>
                          <w:rFonts w:ascii="Cambria Math" w:hAnsi="Cambria Math" w:cs="Arial"/>
                          <w:sz w:val="20"/>
                        </w:rPr>
                        <m:t>AFE</m:t>
                      </m:r>
                    </m:e>
                    <m:sub>
                      <m:r>
                        <m:rPr>
                          <m:sty m:val="p"/>
                        </m:rPr>
                        <w:rPr>
                          <w:rFonts w:ascii="Cambria Math" w:hAnsi="Cambria Math" w:cs="Arial"/>
                          <w:sz w:val="20"/>
                        </w:rPr>
                        <m:t>PC,MY</m:t>
                      </m:r>
                    </m:sub>
                  </m:sSub>
                </m:den>
              </m:f>
            </m:e>
          </m:nary>
          <m:r>
            <w:rPr>
              <w:rFonts w:ascii="Cambria Math" w:hAnsi="Cambria Math" w:cs="Arial"/>
              <w:sz w:val="20"/>
            </w:rPr>
            <m:t>+</m:t>
          </m:r>
          <m:nary>
            <m:naryPr>
              <m:chr m:val="∑"/>
              <m:limLoc m:val="undOvr"/>
              <m:ctrlPr>
                <w:rPr>
                  <w:rFonts w:ascii="Cambria Math" w:hAnsi="Cambria Math" w:cs="Arial"/>
                  <w:sz w:val="20"/>
                </w:rPr>
              </m:ctrlPr>
            </m:naryPr>
            <m:sub>
              <m:r>
                <m:rPr>
                  <m:sty m:val="p"/>
                </m:rPr>
                <w:rPr>
                  <w:rFonts w:ascii="Cambria Math" w:hAnsi="Cambria Math" w:cs="Arial"/>
                  <w:sz w:val="20"/>
                </w:rPr>
                <m:t>i=1</m:t>
              </m:r>
            </m:sub>
            <m:sup>
              <m:r>
                <m:rPr>
                  <m:sty m:val="p"/>
                </m:rPr>
                <w:rPr>
                  <w:rFonts w:ascii="Cambria Math" w:hAnsi="Cambria Math" w:cs="Arial"/>
                  <w:sz w:val="20"/>
                </w:rPr>
                <m:t>MY</m:t>
              </m:r>
            </m:sup>
            <m:e>
              <m:f>
                <m:fPr>
                  <m:ctrlPr>
                    <w:rPr>
                      <w:rFonts w:ascii="Cambria Math" w:hAnsi="Cambria Math" w:cs="Arial"/>
                      <w:sz w:val="20"/>
                    </w:rPr>
                  </m:ctrlPr>
                </m:fPr>
                <m:num>
                  <m:sSub>
                    <m:sSubPr>
                      <m:ctrlPr>
                        <w:rPr>
                          <w:rFonts w:ascii="Cambria Math" w:hAnsi="Cambria Math" w:cs="Arial"/>
                          <w:sz w:val="20"/>
                        </w:rPr>
                      </m:ctrlPr>
                    </m:sSubPr>
                    <m:e>
                      <m:r>
                        <m:rPr>
                          <m:sty m:val="p"/>
                        </m:rPr>
                        <w:rPr>
                          <w:rFonts w:ascii="Cambria Math" w:hAnsi="Cambria Math" w:cs="Arial"/>
                          <w:sz w:val="20"/>
                        </w:rPr>
                        <m:t>LDT</m:t>
                      </m:r>
                    </m:e>
                    <m:sub>
                      <m:r>
                        <m:rPr>
                          <m:sty m:val="p"/>
                        </m:rPr>
                        <w:rPr>
                          <w:rFonts w:ascii="Cambria Math" w:hAnsi="Cambria Math" w:cs="Arial"/>
                          <w:sz w:val="20"/>
                        </w:rPr>
                        <m:t>MY</m:t>
                      </m:r>
                    </m:sub>
                  </m:sSub>
                  <m:r>
                    <m:rPr>
                      <m:sty m:val="p"/>
                    </m:rPr>
                    <w:rPr>
                      <w:rFonts w:ascii="Cambria Math" w:hAnsi="Cambria Math" w:cs="Arial"/>
                      <w:sz w:val="20"/>
                    </w:rPr>
                    <m:t>*</m:t>
                  </m:r>
                  <m:sSub>
                    <m:sSubPr>
                      <m:ctrlPr>
                        <w:rPr>
                          <w:rFonts w:ascii="Cambria Math" w:hAnsi="Cambria Math" w:cs="Arial"/>
                          <w:sz w:val="20"/>
                        </w:rPr>
                      </m:ctrlPr>
                    </m:sSubPr>
                    <m:e>
                      <m:r>
                        <m:rPr>
                          <m:sty m:val="p"/>
                        </m:rPr>
                        <w:rPr>
                          <w:rFonts w:ascii="Cambria Math" w:hAnsi="Cambria Math" w:cs="Arial"/>
                          <w:sz w:val="20"/>
                        </w:rPr>
                        <m:t>AVMT</m:t>
                      </m:r>
                    </m:e>
                    <m:sub>
                      <m:r>
                        <m:rPr>
                          <m:sty m:val="p"/>
                        </m:rPr>
                        <w:rPr>
                          <w:rFonts w:ascii="Cambria Math" w:hAnsi="Cambria Math" w:cs="Arial"/>
                          <w:sz w:val="20"/>
                        </w:rPr>
                        <m:t>LDT, MY</m:t>
                      </m:r>
                    </m:sub>
                  </m:sSub>
                </m:num>
                <m:den>
                  <m:sSub>
                    <m:sSubPr>
                      <m:ctrlPr>
                        <w:rPr>
                          <w:rFonts w:ascii="Cambria Math" w:hAnsi="Cambria Math" w:cs="Arial"/>
                          <w:sz w:val="20"/>
                        </w:rPr>
                      </m:ctrlPr>
                    </m:sSubPr>
                    <m:e>
                      <m:r>
                        <m:rPr>
                          <m:sty m:val="p"/>
                        </m:rPr>
                        <w:rPr>
                          <w:rFonts w:ascii="Cambria Math" w:hAnsi="Cambria Math" w:cs="Arial"/>
                          <w:sz w:val="20"/>
                        </w:rPr>
                        <m:t>AFE</m:t>
                      </m:r>
                    </m:e>
                    <m:sub>
                      <m:r>
                        <m:rPr>
                          <m:sty m:val="p"/>
                        </m:rPr>
                        <w:rPr>
                          <w:rFonts w:ascii="Cambria Math" w:hAnsi="Cambria Math" w:cs="Arial"/>
                          <w:sz w:val="20"/>
                        </w:rPr>
                        <m:t>LDT,MY</m:t>
                      </m:r>
                    </m:sub>
                  </m:sSub>
                </m:den>
              </m:f>
              <m:r>
                <w:rPr>
                  <w:rFonts w:ascii="Cambria Math" w:hAnsi="Cambria Math" w:cs="Arial"/>
                  <w:sz w:val="20"/>
                </w:rPr>
                <m:t xml:space="preserve">+ </m:t>
              </m:r>
              <m:nary>
                <m:naryPr>
                  <m:chr m:val="∑"/>
                  <m:limLoc m:val="undOvr"/>
                  <m:ctrlPr>
                    <w:rPr>
                      <w:rFonts w:ascii="Cambria Math" w:hAnsi="Cambria Math" w:cs="Arial"/>
                      <w:sz w:val="20"/>
                    </w:rPr>
                  </m:ctrlPr>
                </m:naryPr>
                <m:sub>
                  <m:r>
                    <m:rPr>
                      <m:sty m:val="p"/>
                    </m:rPr>
                    <w:rPr>
                      <w:rFonts w:ascii="Cambria Math" w:hAnsi="Cambria Math" w:cs="Arial"/>
                      <w:sz w:val="20"/>
                    </w:rPr>
                    <m:t>i=1</m:t>
                  </m:r>
                </m:sub>
                <m:sup>
                  <m:r>
                    <m:rPr>
                      <m:sty m:val="p"/>
                    </m:rPr>
                    <w:rPr>
                      <w:rFonts w:ascii="Cambria Math" w:hAnsi="Cambria Math" w:cs="Arial"/>
                      <w:sz w:val="20"/>
                    </w:rPr>
                    <m:t>MY</m:t>
                  </m:r>
                </m:sup>
                <m:e>
                  <m:f>
                    <m:fPr>
                      <m:ctrlPr>
                        <w:rPr>
                          <w:rFonts w:ascii="Cambria Math" w:hAnsi="Cambria Math" w:cs="Arial"/>
                          <w:sz w:val="20"/>
                        </w:rPr>
                      </m:ctrlPr>
                    </m:fPr>
                    <m:num>
                      <m:sSub>
                        <m:sSubPr>
                          <m:ctrlPr>
                            <w:rPr>
                              <w:rFonts w:ascii="Cambria Math" w:hAnsi="Cambria Math" w:cs="Arial"/>
                              <w:sz w:val="20"/>
                            </w:rPr>
                          </m:ctrlPr>
                        </m:sSubPr>
                        <m:e>
                          <m:r>
                            <m:rPr>
                              <m:sty m:val="p"/>
                            </m:rPr>
                            <w:rPr>
                              <w:rFonts w:ascii="Cambria Math" w:hAnsi="Cambria Math" w:cs="Arial"/>
                              <w:sz w:val="20"/>
                            </w:rPr>
                            <m:t>MDV</m:t>
                          </m:r>
                        </m:e>
                        <m:sub>
                          <m:r>
                            <m:rPr>
                              <m:sty m:val="p"/>
                            </m:rPr>
                            <w:rPr>
                              <w:rFonts w:ascii="Cambria Math" w:hAnsi="Cambria Math" w:cs="Arial"/>
                              <w:sz w:val="20"/>
                            </w:rPr>
                            <m:t>MY</m:t>
                          </m:r>
                        </m:sub>
                      </m:sSub>
                      <m:r>
                        <m:rPr>
                          <m:sty m:val="p"/>
                        </m:rPr>
                        <w:rPr>
                          <w:rFonts w:ascii="Cambria Math" w:hAnsi="Cambria Math" w:cs="Arial"/>
                          <w:sz w:val="20"/>
                        </w:rPr>
                        <m:t>*</m:t>
                      </m:r>
                      <m:sSub>
                        <m:sSubPr>
                          <m:ctrlPr>
                            <w:rPr>
                              <w:rFonts w:ascii="Cambria Math" w:hAnsi="Cambria Math" w:cs="Arial"/>
                              <w:sz w:val="20"/>
                            </w:rPr>
                          </m:ctrlPr>
                        </m:sSubPr>
                        <m:e>
                          <m:r>
                            <m:rPr>
                              <m:sty m:val="p"/>
                            </m:rPr>
                            <w:rPr>
                              <w:rFonts w:ascii="Cambria Math" w:hAnsi="Cambria Math" w:cs="Arial"/>
                              <w:sz w:val="20"/>
                            </w:rPr>
                            <m:t>AVMT</m:t>
                          </m:r>
                        </m:e>
                        <m:sub>
                          <m:r>
                            <m:rPr>
                              <m:sty m:val="p"/>
                            </m:rPr>
                            <w:rPr>
                              <w:rFonts w:ascii="Cambria Math" w:hAnsi="Cambria Math" w:cs="Arial"/>
                              <w:sz w:val="20"/>
                            </w:rPr>
                            <m:t>MDV, MY</m:t>
                          </m:r>
                        </m:sub>
                      </m:sSub>
                    </m:num>
                    <m:den>
                      <m:sSub>
                        <m:sSubPr>
                          <m:ctrlPr>
                            <w:rPr>
                              <w:rFonts w:ascii="Cambria Math" w:hAnsi="Cambria Math" w:cs="Arial"/>
                              <w:sz w:val="20"/>
                            </w:rPr>
                          </m:ctrlPr>
                        </m:sSubPr>
                        <m:e>
                          <m:r>
                            <m:rPr>
                              <m:sty m:val="p"/>
                            </m:rPr>
                            <w:rPr>
                              <w:rFonts w:ascii="Cambria Math" w:hAnsi="Cambria Math" w:cs="Arial"/>
                              <w:sz w:val="20"/>
                            </w:rPr>
                            <m:t>AFE</m:t>
                          </m:r>
                        </m:e>
                        <m:sub>
                          <m:r>
                            <m:rPr>
                              <m:sty m:val="p"/>
                            </m:rPr>
                            <w:rPr>
                              <w:rFonts w:ascii="Cambria Math" w:hAnsi="Cambria Math" w:cs="Arial"/>
                              <w:sz w:val="20"/>
                            </w:rPr>
                            <m:t>MDV,MY</m:t>
                          </m:r>
                        </m:sub>
                      </m:sSub>
                    </m:den>
                  </m:f>
                </m:e>
              </m:nary>
            </m:e>
          </m:nary>
        </m:oMath>
      </m:oMathPara>
    </w:p>
    <w:p w:rsidR="00682BA3" w:rsidRPr="00D1692C" w:rsidRDefault="00682BA3" w:rsidP="00682BA3">
      <w:pPr>
        <w:spacing w:after="120" w:line="240" w:lineRule="auto"/>
        <w:rPr>
          <w:rFonts w:cs="Arial"/>
          <w:i/>
          <w:sz w:val="20"/>
          <w:szCs w:val="20"/>
        </w:rPr>
      </w:pPr>
      <w:r w:rsidRPr="00D1692C">
        <w:rPr>
          <w:rFonts w:cs="Arial"/>
          <w:i/>
          <w:sz w:val="20"/>
          <w:szCs w:val="20"/>
        </w:rPr>
        <w:t>Where:</w:t>
      </w:r>
    </w:p>
    <w:p w:rsidR="00682BA3" w:rsidRPr="00D1692C" w:rsidRDefault="00682BA3" w:rsidP="00682BA3">
      <w:pPr>
        <w:spacing w:after="0" w:line="240" w:lineRule="auto"/>
        <w:rPr>
          <w:rFonts w:cs="Arial"/>
          <w:sz w:val="20"/>
          <w:szCs w:val="20"/>
        </w:rPr>
      </w:pPr>
      <w:r w:rsidRPr="00D1692C">
        <w:rPr>
          <w:rFonts w:cs="Arial"/>
          <w:sz w:val="20"/>
          <w:szCs w:val="20"/>
        </w:rPr>
        <w:t>TMPV</w:t>
      </w:r>
      <w:r w:rsidRPr="00D1692C">
        <w:rPr>
          <w:rFonts w:cs="Arial"/>
          <w:sz w:val="20"/>
          <w:szCs w:val="20"/>
        </w:rPr>
        <w:tab/>
        <w:t>= Total Projected Maximum Volume</w:t>
      </w:r>
    </w:p>
    <w:p w:rsidR="00682BA3" w:rsidRPr="00D1692C" w:rsidRDefault="00682BA3" w:rsidP="00682BA3">
      <w:pPr>
        <w:spacing w:after="0" w:line="240" w:lineRule="auto"/>
        <w:rPr>
          <w:rFonts w:cs="Arial"/>
          <w:sz w:val="20"/>
          <w:szCs w:val="20"/>
        </w:rPr>
      </w:pPr>
      <w:r w:rsidRPr="00D1692C">
        <w:rPr>
          <w:rFonts w:cs="Arial"/>
          <w:sz w:val="20"/>
          <w:szCs w:val="20"/>
        </w:rPr>
        <w:t xml:space="preserve">PC </w:t>
      </w:r>
      <w:r w:rsidRPr="00D1692C">
        <w:rPr>
          <w:rFonts w:cs="Arial"/>
          <w:sz w:val="20"/>
          <w:szCs w:val="20"/>
        </w:rPr>
        <w:tab/>
        <w:t>= Passenger Cars</w:t>
      </w:r>
    </w:p>
    <w:p w:rsidR="00682BA3" w:rsidRPr="00D1692C" w:rsidRDefault="00682BA3" w:rsidP="00682BA3">
      <w:pPr>
        <w:spacing w:after="0" w:line="240" w:lineRule="auto"/>
        <w:rPr>
          <w:rFonts w:cs="Arial"/>
          <w:sz w:val="20"/>
          <w:szCs w:val="20"/>
        </w:rPr>
      </w:pPr>
      <w:r w:rsidRPr="00D1692C">
        <w:rPr>
          <w:rFonts w:cs="Arial"/>
          <w:sz w:val="20"/>
          <w:szCs w:val="20"/>
        </w:rPr>
        <w:t xml:space="preserve">LDT </w:t>
      </w:r>
      <w:r w:rsidRPr="00D1692C">
        <w:rPr>
          <w:rFonts w:cs="Arial"/>
          <w:sz w:val="20"/>
          <w:szCs w:val="20"/>
        </w:rPr>
        <w:tab/>
        <w:t>= Light-Duty Trucks</w:t>
      </w:r>
    </w:p>
    <w:p w:rsidR="00682BA3" w:rsidRPr="00D1692C" w:rsidRDefault="00682BA3" w:rsidP="00682BA3">
      <w:pPr>
        <w:spacing w:after="0" w:line="240" w:lineRule="auto"/>
        <w:rPr>
          <w:rFonts w:cs="Arial"/>
          <w:sz w:val="20"/>
          <w:szCs w:val="20"/>
        </w:rPr>
      </w:pPr>
      <w:r w:rsidRPr="00D1692C">
        <w:rPr>
          <w:rFonts w:cs="Arial"/>
          <w:sz w:val="20"/>
          <w:szCs w:val="20"/>
        </w:rPr>
        <w:t xml:space="preserve">MDV </w:t>
      </w:r>
      <w:r w:rsidRPr="00D1692C">
        <w:rPr>
          <w:rFonts w:cs="Arial"/>
          <w:sz w:val="20"/>
          <w:szCs w:val="20"/>
        </w:rPr>
        <w:tab/>
        <w:t>= Medium-Duty Vehicles</w:t>
      </w:r>
    </w:p>
    <w:p w:rsidR="00682BA3" w:rsidRPr="00D1692C" w:rsidRDefault="00682BA3" w:rsidP="00682BA3">
      <w:pPr>
        <w:spacing w:after="0" w:line="240" w:lineRule="auto"/>
        <w:rPr>
          <w:rFonts w:cs="Arial"/>
          <w:sz w:val="20"/>
          <w:szCs w:val="20"/>
        </w:rPr>
      </w:pPr>
      <w:r w:rsidRPr="00D1692C">
        <w:rPr>
          <w:rFonts w:cs="Arial"/>
          <w:sz w:val="20"/>
          <w:szCs w:val="20"/>
        </w:rPr>
        <w:t xml:space="preserve">MY </w:t>
      </w:r>
      <w:r w:rsidRPr="00D1692C">
        <w:rPr>
          <w:rFonts w:cs="Arial"/>
          <w:sz w:val="20"/>
          <w:szCs w:val="20"/>
        </w:rPr>
        <w:tab/>
        <w:t>= Model Year, for model years 1994 through the model year corresponding with the relevant compliance year.</w:t>
      </w:r>
    </w:p>
    <w:p w:rsidR="00682BA3" w:rsidRPr="00D1692C" w:rsidRDefault="00682BA3" w:rsidP="00682BA3">
      <w:pPr>
        <w:spacing w:after="0" w:line="240" w:lineRule="auto"/>
        <w:rPr>
          <w:rFonts w:cs="Arial"/>
          <w:sz w:val="20"/>
          <w:szCs w:val="20"/>
        </w:rPr>
      </w:pPr>
      <w:r w:rsidRPr="00D1692C">
        <w:rPr>
          <w:rFonts w:cs="Arial"/>
          <w:sz w:val="20"/>
          <w:szCs w:val="20"/>
        </w:rPr>
        <w:t xml:space="preserve">AVMT </w:t>
      </w:r>
      <w:r w:rsidRPr="00D1692C">
        <w:rPr>
          <w:rFonts w:cs="Arial"/>
          <w:sz w:val="20"/>
          <w:szCs w:val="20"/>
        </w:rPr>
        <w:tab/>
        <w:t>= Average Vehicle Miles Traveled for a vehicle class and model year</w:t>
      </w:r>
    </w:p>
    <w:p w:rsidR="00682BA3" w:rsidRPr="00D1692C" w:rsidRDefault="00682BA3" w:rsidP="00682BA3">
      <w:pPr>
        <w:spacing w:after="0" w:line="240" w:lineRule="auto"/>
        <w:rPr>
          <w:rFonts w:cs="Arial"/>
          <w:sz w:val="20"/>
          <w:szCs w:val="20"/>
        </w:rPr>
      </w:pPr>
      <w:r w:rsidRPr="00D1692C">
        <w:rPr>
          <w:rFonts w:cs="Arial"/>
          <w:sz w:val="20"/>
          <w:szCs w:val="20"/>
        </w:rPr>
        <w:t xml:space="preserve">AFE </w:t>
      </w:r>
      <w:r w:rsidRPr="00D1692C">
        <w:rPr>
          <w:rFonts w:cs="Arial"/>
          <w:sz w:val="20"/>
          <w:szCs w:val="20"/>
        </w:rPr>
        <w:tab/>
        <w:t>= Average Fuel Economy for a vehicle class and model year</w:t>
      </w:r>
    </w:p>
    <w:p w:rsidR="00682BA3" w:rsidRPr="008720F3" w:rsidRDefault="00682BA3" w:rsidP="00682BA3">
      <w:pPr>
        <w:spacing w:after="0" w:line="240" w:lineRule="auto"/>
        <w:rPr>
          <w:rFonts w:cs="Arial"/>
        </w:rPr>
      </w:pPr>
    </w:p>
    <w:p w:rsidR="00682BA3" w:rsidRPr="00D1692C" w:rsidRDefault="00682BA3" w:rsidP="00682BA3">
      <w:pPr>
        <w:rPr>
          <w:rFonts w:cs="Arial"/>
        </w:rPr>
      </w:pPr>
      <w:r w:rsidRPr="00D1692C">
        <w:rPr>
          <w:rFonts w:cs="Arial"/>
        </w:rPr>
        <w:t xml:space="preserve">The number of required fuel outlets is calculated from TPMV. </w:t>
      </w:r>
    </w:p>
    <w:tbl>
      <w:tblPr>
        <w:tblW w:w="7215" w:type="dxa"/>
        <w:tblInd w:w="93" w:type="dxa"/>
        <w:tblLook w:val="04A0" w:firstRow="1" w:lastRow="0" w:firstColumn="1" w:lastColumn="0" w:noHBand="0" w:noVBand="1"/>
      </w:tblPr>
      <w:tblGrid>
        <w:gridCol w:w="959"/>
        <w:gridCol w:w="316"/>
        <w:gridCol w:w="702"/>
        <w:gridCol w:w="280"/>
        <w:gridCol w:w="2244"/>
        <w:gridCol w:w="316"/>
        <w:gridCol w:w="2398"/>
      </w:tblGrid>
      <w:tr w:rsidR="00682BA3" w:rsidRPr="008720F3" w:rsidTr="00EC512E">
        <w:trPr>
          <w:trHeight w:val="300"/>
        </w:trPr>
        <w:tc>
          <w:tcPr>
            <w:tcW w:w="959" w:type="dxa"/>
            <w:vMerge w:val="restart"/>
            <w:tcBorders>
              <w:top w:val="nil"/>
              <w:left w:val="nil"/>
              <w:bottom w:val="nil"/>
              <w:right w:val="nil"/>
            </w:tcBorders>
            <w:shd w:val="clear" w:color="000000" w:fill="FFFFFF"/>
            <w:vAlign w:val="center"/>
            <w:hideMark/>
          </w:tcPr>
          <w:p w:rsidR="00682BA3" w:rsidRPr="008720F3" w:rsidRDefault="00682BA3" w:rsidP="00EC512E">
            <w:pPr>
              <w:spacing w:after="0" w:line="240" w:lineRule="auto"/>
              <w:jc w:val="center"/>
              <w:rPr>
                <w:rFonts w:eastAsia="Times New Roman" w:cs="Arial"/>
                <w:color w:val="000000"/>
                <w:sz w:val="20"/>
                <w:szCs w:val="20"/>
              </w:rPr>
            </w:pPr>
            <w:r w:rsidRPr="008720F3">
              <w:rPr>
                <w:rFonts w:eastAsia="Times New Roman" w:cs="Arial"/>
                <w:color w:val="000000"/>
                <w:sz w:val="20"/>
                <w:szCs w:val="20"/>
              </w:rPr>
              <w:t>Required Fuel Outlets</w:t>
            </w:r>
          </w:p>
        </w:tc>
        <w:tc>
          <w:tcPr>
            <w:tcW w:w="316" w:type="dxa"/>
            <w:vMerge w:val="restart"/>
            <w:tcBorders>
              <w:top w:val="nil"/>
              <w:left w:val="nil"/>
              <w:bottom w:val="nil"/>
              <w:right w:val="nil"/>
            </w:tcBorders>
            <w:shd w:val="clear" w:color="000000" w:fill="FFFFFF"/>
            <w:noWrap/>
            <w:vAlign w:val="center"/>
            <w:hideMark/>
          </w:tcPr>
          <w:p w:rsidR="00682BA3" w:rsidRPr="008720F3" w:rsidRDefault="00682BA3" w:rsidP="00EC512E">
            <w:pPr>
              <w:spacing w:after="0" w:line="240" w:lineRule="auto"/>
              <w:jc w:val="center"/>
              <w:rPr>
                <w:rFonts w:eastAsia="Times New Roman" w:cs="Arial"/>
                <w:color w:val="000000"/>
                <w:sz w:val="20"/>
                <w:szCs w:val="20"/>
              </w:rPr>
            </w:pPr>
            <w:r w:rsidRPr="008720F3">
              <w:rPr>
                <w:rFonts w:eastAsia="Times New Roman" w:cs="Arial"/>
                <w:color w:val="000000"/>
                <w:sz w:val="20"/>
                <w:szCs w:val="20"/>
              </w:rPr>
              <w:t>=</w:t>
            </w:r>
          </w:p>
        </w:tc>
        <w:tc>
          <w:tcPr>
            <w:tcW w:w="702" w:type="dxa"/>
            <w:vMerge w:val="restart"/>
            <w:tcBorders>
              <w:top w:val="nil"/>
              <w:left w:val="nil"/>
              <w:bottom w:val="single" w:sz="4" w:space="0" w:color="000000"/>
              <w:right w:val="nil"/>
            </w:tcBorders>
            <w:shd w:val="clear" w:color="000000" w:fill="FFFFFF"/>
            <w:noWrap/>
            <w:vAlign w:val="center"/>
            <w:hideMark/>
          </w:tcPr>
          <w:p w:rsidR="00682BA3" w:rsidRPr="008720F3" w:rsidRDefault="00682BA3" w:rsidP="00EC512E">
            <w:pPr>
              <w:spacing w:after="0" w:line="240" w:lineRule="auto"/>
              <w:jc w:val="center"/>
              <w:rPr>
                <w:rFonts w:eastAsia="Times New Roman" w:cs="Arial"/>
                <w:color w:val="000000"/>
                <w:sz w:val="20"/>
                <w:szCs w:val="20"/>
              </w:rPr>
            </w:pPr>
            <w:r w:rsidRPr="008720F3">
              <w:rPr>
                <w:rFonts w:eastAsia="Times New Roman" w:cs="Arial"/>
                <w:color w:val="000000"/>
                <w:sz w:val="20"/>
                <w:szCs w:val="20"/>
              </w:rPr>
              <w:t>TPMV</w:t>
            </w:r>
          </w:p>
        </w:tc>
        <w:tc>
          <w:tcPr>
            <w:tcW w:w="280" w:type="dxa"/>
            <w:vMerge w:val="restart"/>
            <w:tcBorders>
              <w:top w:val="nil"/>
              <w:left w:val="nil"/>
              <w:bottom w:val="single" w:sz="4" w:space="0" w:color="000000"/>
              <w:right w:val="nil"/>
            </w:tcBorders>
            <w:shd w:val="clear" w:color="000000" w:fill="FFFFFF"/>
            <w:noWrap/>
            <w:vAlign w:val="center"/>
            <w:hideMark/>
          </w:tcPr>
          <w:p w:rsidR="00682BA3" w:rsidRPr="008720F3" w:rsidRDefault="00682BA3" w:rsidP="00EC512E">
            <w:pPr>
              <w:spacing w:after="0" w:line="240" w:lineRule="auto"/>
              <w:jc w:val="center"/>
              <w:rPr>
                <w:rFonts w:eastAsia="Times New Roman" w:cs="Arial"/>
                <w:color w:val="000000"/>
                <w:sz w:val="20"/>
                <w:szCs w:val="20"/>
              </w:rPr>
            </w:pPr>
            <w:r w:rsidRPr="008720F3">
              <w:rPr>
                <w:rFonts w:eastAsia="Times New Roman" w:cs="Arial"/>
                <w:color w:val="000000"/>
                <w:sz w:val="20"/>
                <w:szCs w:val="20"/>
              </w:rPr>
              <w:t>-</w:t>
            </w:r>
          </w:p>
        </w:tc>
        <w:tc>
          <w:tcPr>
            <w:tcW w:w="2244" w:type="dxa"/>
            <w:vMerge w:val="restart"/>
            <w:tcBorders>
              <w:top w:val="nil"/>
              <w:left w:val="nil"/>
              <w:bottom w:val="single" w:sz="4" w:space="0" w:color="000000"/>
              <w:right w:val="nil"/>
            </w:tcBorders>
            <w:shd w:val="clear" w:color="000000" w:fill="FFFFFF"/>
            <w:vAlign w:val="center"/>
            <w:hideMark/>
          </w:tcPr>
          <w:p w:rsidR="00682BA3" w:rsidRPr="008720F3" w:rsidRDefault="00682BA3" w:rsidP="00EC512E">
            <w:pPr>
              <w:spacing w:after="0" w:line="240" w:lineRule="auto"/>
              <w:jc w:val="center"/>
              <w:rPr>
                <w:rFonts w:eastAsia="Times New Roman" w:cs="Arial"/>
                <w:color w:val="000000"/>
                <w:sz w:val="20"/>
                <w:szCs w:val="20"/>
              </w:rPr>
            </w:pPr>
            <w:r w:rsidRPr="008720F3">
              <w:rPr>
                <w:rFonts w:eastAsia="Times New Roman" w:cs="Arial"/>
                <w:color w:val="000000"/>
                <w:sz w:val="20"/>
                <w:szCs w:val="20"/>
              </w:rPr>
              <w:t>Discounted Fuel Volume for Fleet Vehicles</w:t>
            </w:r>
          </w:p>
        </w:tc>
        <w:tc>
          <w:tcPr>
            <w:tcW w:w="316" w:type="dxa"/>
            <w:vMerge w:val="restart"/>
            <w:tcBorders>
              <w:top w:val="nil"/>
              <w:left w:val="nil"/>
              <w:bottom w:val="single" w:sz="4" w:space="0" w:color="000000"/>
              <w:right w:val="nil"/>
            </w:tcBorders>
            <w:shd w:val="clear" w:color="000000" w:fill="FFFFFF"/>
            <w:noWrap/>
            <w:vAlign w:val="center"/>
            <w:hideMark/>
          </w:tcPr>
          <w:p w:rsidR="00682BA3" w:rsidRPr="008720F3" w:rsidRDefault="00682BA3" w:rsidP="00EC512E">
            <w:pPr>
              <w:spacing w:after="0" w:line="240" w:lineRule="auto"/>
              <w:jc w:val="center"/>
              <w:rPr>
                <w:rFonts w:eastAsia="Times New Roman" w:cs="Arial"/>
                <w:color w:val="000000"/>
                <w:sz w:val="20"/>
                <w:szCs w:val="20"/>
              </w:rPr>
            </w:pPr>
            <w:r w:rsidRPr="008720F3">
              <w:rPr>
                <w:rFonts w:eastAsia="Times New Roman" w:cs="Arial"/>
                <w:color w:val="000000"/>
                <w:sz w:val="20"/>
                <w:szCs w:val="20"/>
              </w:rPr>
              <w:t>+</w:t>
            </w:r>
          </w:p>
        </w:tc>
        <w:tc>
          <w:tcPr>
            <w:tcW w:w="2398" w:type="dxa"/>
            <w:vMerge w:val="restart"/>
            <w:tcBorders>
              <w:top w:val="nil"/>
              <w:left w:val="nil"/>
              <w:bottom w:val="single" w:sz="4" w:space="0" w:color="000000"/>
              <w:right w:val="nil"/>
            </w:tcBorders>
            <w:shd w:val="clear" w:color="000000" w:fill="FFFFFF"/>
            <w:vAlign w:val="center"/>
            <w:hideMark/>
          </w:tcPr>
          <w:p w:rsidR="00682BA3" w:rsidRPr="008720F3" w:rsidRDefault="00682BA3" w:rsidP="00EC512E">
            <w:pPr>
              <w:spacing w:after="0" w:line="240" w:lineRule="auto"/>
              <w:jc w:val="center"/>
              <w:rPr>
                <w:rFonts w:eastAsia="Times New Roman" w:cs="Arial"/>
                <w:color w:val="000000"/>
                <w:sz w:val="20"/>
                <w:szCs w:val="20"/>
              </w:rPr>
            </w:pPr>
            <w:r w:rsidRPr="008720F3">
              <w:rPr>
                <w:rFonts w:eastAsia="Times New Roman" w:cs="Arial"/>
                <w:color w:val="000000"/>
                <w:sz w:val="20"/>
                <w:szCs w:val="20"/>
              </w:rPr>
              <w:t xml:space="preserve">Total Fuel Volume </w:t>
            </w:r>
          </w:p>
          <w:p w:rsidR="00682BA3" w:rsidRPr="008720F3" w:rsidRDefault="00682BA3" w:rsidP="00EC512E">
            <w:pPr>
              <w:spacing w:after="0" w:line="240" w:lineRule="auto"/>
              <w:jc w:val="center"/>
              <w:rPr>
                <w:rFonts w:eastAsia="Times New Roman" w:cs="Arial"/>
                <w:color w:val="000000"/>
                <w:sz w:val="20"/>
                <w:szCs w:val="20"/>
              </w:rPr>
            </w:pPr>
            <w:r w:rsidRPr="008720F3">
              <w:rPr>
                <w:rFonts w:eastAsia="Times New Roman" w:cs="Arial"/>
                <w:color w:val="000000"/>
                <w:sz w:val="20"/>
                <w:szCs w:val="20"/>
              </w:rPr>
              <w:t>from Vehicle Conversions</w:t>
            </w:r>
          </w:p>
        </w:tc>
      </w:tr>
      <w:tr w:rsidR="00682BA3" w:rsidRPr="008720F3" w:rsidTr="00EC512E">
        <w:trPr>
          <w:trHeight w:val="402"/>
        </w:trPr>
        <w:tc>
          <w:tcPr>
            <w:tcW w:w="959" w:type="dxa"/>
            <w:vMerge/>
            <w:tcBorders>
              <w:top w:val="nil"/>
              <w:left w:val="nil"/>
              <w:bottom w:val="nil"/>
              <w:right w:val="nil"/>
            </w:tcBorders>
            <w:vAlign w:val="center"/>
            <w:hideMark/>
          </w:tcPr>
          <w:p w:rsidR="00682BA3" w:rsidRPr="008720F3" w:rsidRDefault="00682BA3" w:rsidP="00EC512E">
            <w:pPr>
              <w:spacing w:after="0" w:line="240" w:lineRule="auto"/>
              <w:rPr>
                <w:rFonts w:eastAsia="Times New Roman" w:cs="Arial"/>
                <w:color w:val="000000"/>
                <w:sz w:val="20"/>
                <w:szCs w:val="20"/>
              </w:rPr>
            </w:pPr>
          </w:p>
        </w:tc>
        <w:tc>
          <w:tcPr>
            <w:tcW w:w="316" w:type="dxa"/>
            <w:vMerge/>
            <w:tcBorders>
              <w:top w:val="nil"/>
              <w:left w:val="nil"/>
              <w:bottom w:val="nil"/>
              <w:right w:val="nil"/>
            </w:tcBorders>
            <w:vAlign w:val="center"/>
            <w:hideMark/>
          </w:tcPr>
          <w:p w:rsidR="00682BA3" w:rsidRPr="008720F3" w:rsidRDefault="00682BA3" w:rsidP="00EC512E">
            <w:pPr>
              <w:spacing w:after="0" w:line="240" w:lineRule="auto"/>
              <w:rPr>
                <w:rFonts w:eastAsia="Times New Roman" w:cs="Arial"/>
                <w:color w:val="000000"/>
                <w:sz w:val="20"/>
                <w:szCs w:val="20"/>
              </w:rPr>
            </w:pPr>
          </w:p>
        </w:tc>
        <w:tc>
          <w:tcPr>
            <w:tcW w:w="702" w:type="dxa"/>
            <w:vMerge/>
            <w:tcBorders>
              <w:top w:val="nil"/>
              <w:left w:val="nil"/>
              <w:bottom w:val="single" w:sz="4" w:space="0" w:color="000000"/>
              <w:right w:val="nil"/>
            </w:tcBorders>
            <w:vAlign w:val="center"/>
            <w:hideMark/>
          </w:tcPr>
          <w:p w:rsidR="00682BA3" w:rsidRPr="008720F3" w:rsidRDefault="00682BA3" w:rsidP="00EC512E">
            <w:pPr>
              <w:spacing w:after="0" w:line="240" w:lineRule="auto"/>
              <w:rPr>
                <w:rFonts w:eastAsia="Times New Roman" w:cs="Arial"/>
                <w:color w:val="000000"/>
                <w:sz w:val="20"/>
                <w:szCs w:val="20"/>
              </w:rPr>
            </w:pPr>
          </w:p>
        </w:tc>
        <w:tc>
          <w:tcPr>
            <w:tcW w:w="280" w:type="dxa"/>
            <w:vMerge/>
            <w:tcBorders>
              <w:top w:val="nil"/>
              <w:left w:val="nil"/>
              <w:bottom w:val="single" w:sz="4" w:space="0" w:color="000000"/>
              <w:right w:val="nil"/>
            </w:tcBorders>
            <w:vAlign w:val="center"/>
            <w:hideMark/>
          </w:tcPr>
          <w:p w:rsidR="00682BA3" w:rsidRPr="008720F3" w:rsidRDefault="00682BA3" w:rsidP="00EC512E">
            <w:pPr>
              <w:spacing w:after="0" w:line="240" w:lineRule="auto"/>
              <w:rPr>
                <w:rFonts w:eastAsia="Times New Roman" w:cs="Arial"/>
                <w:color w:val="000000"/>
                <w:sz w:val="20"/>
                <w:szCs w:val="20"/>
              </w:rPr>
            </w:pPr>
          </w:p>
        </w:tc>
        <w:tc>
          <w:tcPr>
            <w:tcW w:w="2244" w:type="dxa"/>
            <w:vMerge/>
            <w:tcBorders>
              <w:top w:val="nil"/>
              <w:left w:val="nil"/>
              <w:bottom w:val="single" w:sz="4" w:space="0" w:color="000000"/>
              <w:right w:val="nil"/>
            </w:tcBorders>
            <w:vAlign w:val="center"/>
            <w:hideMark/>
          </w:tcPr>
          <w:p w:rsidR="00682BA3" w:rsidRPr="008720F3" w:rsidRDefault="00682BA3" w:rsidP="00EC512E">
            <w:pPr>
              <w:spacing w:after="0" w:line="240" w:lineRule="auto"/>
              <w:rPr>
                <w:rFonts w:eastAsia="Times New Roman" w:cs="Arial"/>
                <w:color w:val="000000"/>
                <w:sz w:val="20"/>
                <w:szCs w:val="20"/>
              </w:rPr>
            </w:pPr>
          </w:p>
        </w:tc>
        <w:tc>
          <w:tcPr>
            <w:tcW w:w="316" w:type="dxa"/>
            <w:vMerge/>
            <w:tcBorders>
              <w:top w:val="nil"/>
              <w:left w:val="nil"/>
              <w:bottom w:val="single" w:sz="4" w:space="0" w:color="000000"/>
              <w:right w:val="nil"/>
            </w:tcBorders>
            <w:vAlign w:val="center"/>
            <w:hideMark/>
          </w:tcPr>
          <w:p w:rsidR="00682BA3" w:rsidRPr="008720F3" w:rsidRDefault="00682BA3" w:rsidP="00EC512E">
            <w:pPr>
              <w:spacing w:after="0" w:line="240" w:lineRule="auto"/>
              <w:rPr>
                <w:rFonts w:eastAsia="Times New Roman" w:cs="Arial"/>
                <w:color w:val="000000"/>
                <w:sz w:val="20"/>
                <w:szCs w:val="20"/>
              </w:rPr>
            </w:pPr>
          </w:p>
        </w:tc>
        <w:tc>
          <w:tcPr>
            <w:tcW w:w="2398" w:type="dxa"/>
            <w:vMerge/>
            <w:tcBorders>
              <w:top w:val="nil"/>
              <w:left w:val="nil"/>
              <w:bottom w:val="single" w:sz="4" w:space="0" w:color="000000"/>
              <w:right w:val="nil"/>
            </w:tcBorders>
            <w:vAlign w:val="center"/>
            <w:hideMark/>
          </w:tcPr>
          <w:p w:rsidR="00682BA3" w:rsidRPr="008720F3" w:rsidRDefault="00682BA3" w:rsidP="00EC512E">
            <w:pPr>
              <w:spacing w:after="0" w:line="240" w:lineRule="auto"/>
              <w:rPr>
                <w:rFonts w:eastAsia="Times New Roman" w:cs="Arial"/>
                <w:color w:val="000000"/>
                <w:sz w:val="20"/>
                <w:szCs w:val="20"/>
              </w:rPr>
            </w:pPr>
          </w:p>
        </w:tc>
      </w:tr>
      <w:tr w:rsidR="00682BA3" w:rsidRPr="008720F3" w:rsidTr="00EC512E">
        <w:trPr>
          <w:trHeight w:val="402"/>
        </w:trPr>
        <w:tc>
          <w:tcPr>
            <w:tcW w:w="959" w:type="dxa"/>
            <w:vMerge/>
            <w:tcBorders>
              <w:top w:val="nil"/>
              <w:left w:val="nil"/>
              <w:bottom w:val="nil"/>
              <w:right w:val="nil"/>
            </w:tcBorders>
            <w:vAlign w:val="center"/>
            <w:hideMark/>
          </w:tcPr>
          <w:p w:rsidR="00682BA3" w:rsidRPr="008720F3" w:rsidRDefault="00682BA3" w:rsidP="00EC512E">
            <w:pPr>
              <w:spacing w:after="0" w:line="240" w:lineRule="auto"/>
              <w:rPr>
                <w:rFonts w:eastAsia="Times New Roman" w:cs="Arial"/>
                <w:color w:val="000000"/>
                <w:sz w:val="20"/>
                <w:szCs w:val="20"/>
              </w:rPr>
            </w:pPr>
          </w:p>
        </w:tc>
        <w:tc>
          <w:tcPr>
            <w:tcW w:w="316" w:type="dxa"/>
            <w:vMerge/>
            <w:tcBorders>
              <w:top w:val="nil"/>
              <w:left w:val="nil"/>
              <w:bottom w:val="nil"/>
              <w:right w:val="nil"/>
            </w:tcBorders>
            <w:vAlign w:val="center"/>
            <w:hideMark/>
          </w:tcPr>
          <w:p w:rsidR="00682BA3" w:rsidRPr="008720F3" w:rsidRDefault="00682BA3" w:rsidP="00EC512E">
            <w:pPr>
              <w:spacing w:after="0" w:line="240" w:lineRule="auto"/>
              <w:rPr>
                <w:rFonts w:eastAsia="Times New Roman" w:cs="Arial"/>
                <w:color w:val="000000"/>
                <w:sz w:val="20"/>
                <w:szCs w:val="20"/>
              </w:rPr>
            </w:pPr>
          </w:p>
        </w:tc>
        <w:tc>
          <w:tcPr>
            <w:tcW w:w="5940" w:type="dxa"/>
            <w:gridSpan w:val="5"/>
            <w:tcBorders>
              <w:top w:val="single" w:sz="4" w:space="0" w:color="auto"/>
              <w:left w:val="nil"/>
              <w:bottom w:val="nil"/>
              <w:right w:val="nil"/>
            </w:tcBorders>
            <w:shd w:val="clear" w:color="000000" w:fill="FFFFFF"/>
            <w:noWrap/>
            <w:vAlign w:val="bottom"/>
            <w:hideMark/>
          </w:tcPr>
          <w:p w:rsidR="00682BA3" w:rsidRPr="008720F3" w:rsidRDefault="00682BA3" w:rsidP="00EC512E">
            <w:pPr>
              <w:spacing w:after="0" w:line="240" w:lineRule="auto"/>
              <w:jc w:val="center"/>
              <w:rPr>
                <w:rFonts w:eastAsia="Times New Roman" w:cs="Arial"/>
                <w:color w:val="000000"/>
                <w:sz w:val="20"/>
                <w:szCs w:val="20"/>
              </w:rPr>
            </w:pPr>
            <w:r w:rsidRPr="008720F3">
              <w:rPr>
                <w:rFonts w:eastAsia="Times New Roman" w:cs="Arial"/>
                <w:color w:val="000000"/>
                <w:sz w:val="20"/>
                <w:szCs w:val="20"/>
              </w:rPr>
              <w:t>Fuel Throughput Volume per Station</w:t>
            </w:r>
          </w:p>
        </w:tc>
      </w:tr>
    </w:tbl>
    <w:p w:rsidR="00682BA3" w:rsidRPr="008720F3" w:rsidRDefault="00682BA3" w:rsidP="00682BA3">
      <w:pPr>
        <w:spacing w:after="0" w:line="240" w:lineRule="auto"/>
      </w:pPr>
    </w:p>
    <w:p w:rsidR="00682BA3" w:rsidRPr="00D1692C" w:rsidRDefault="00682BA3" w:rsidP="00D1692C">
      <w:pPr>
        <w:rPr>
          <w:rFonts w:cs="Arial"/>
        </w:rPr>
      </w:pPr>
      <w:r w:rsidRPr="00D1692C">
        <w:rPr>
          <w:rFonts w:cs="Arial"/>
        </w:rPr>
        <w:t>As fleet vehicles are presumed to perform a majority of their refueling at a central, fleet location, a share of the fuel volume which fleet vehicles would require is removed from consideration. Likewise, in determining whether the 20,000 vehicle threshold has been reached, the same share of fleet vehicles is ignored. The share of fleet vehicles removed from consideration is determined by the Executive Officer of the California Air Resource Board, and is intended to represent the portion of fleet fueling performed at fleet stations. The CFOR specifies that no more than 75 percent of fleet vehicles shall be removed.</w:t>
      </w:r>
    </w:p>
    <w:p w:rsidR="00682BA3" w:rsidRPr="00D1692C" w:rsidRDefault="00682BA3" w:rsidP="00D1692C">
      <w:pPr>
        <w:rPr>
          <w:rFonts w:cs="Arial"/>
        </w:rPr>
      </w:pPr>
      <w:r w:rsidRPr="00D1692C">
        <w:rPr>
          <w:rFonts w:cs="Arial"/>
        </w:rPr>
        <w:t xml:space="preserve">For liquid fuels, the </w:t>
      </w:r>
      <w:r w:rsidRPr="00D1692C">
        <w:rPr>
          <w:rFonts w:cs="Arial"/>
          <w:i/>
        </w:rPr>
        <w:t>Fuel Throughput Volume per Station</w:t>
      </w:r>
      <w:r w:rsidRPr="00D1692C">
        <w:rPr>
          <w:rFonts w:cs="Arial"/>
        </w:rPr>
        <w:t xml:space="preserve"> is assumed to be 300,000 gasoline equivalent gallons per year, until the number of vehicles using that fuel is high enough that the CFOR requires more than 5 percent of all retail gasoline outlets to stock the fuel. At this point, the assumed </w:t>
      </w:r>
      <w:r w:rsidRPr="00D1692C">
        <w:rPr>
          <w:rFonts w:cs="Arial"/>
          <w:i/>
        </w:rPr>
        <w:t>Fuel Throughput Volume per Station</w:t>
      </w:r>
      <w:r w:rsidR="00A8227E" w:rsidRPr="00D1692C">
        <w:rPr>
          <w:rFonts w:cs="Arial"/>
        </w:rPr>
        <w:t xml:space="preserve"> i</w:t>
      </w:r>
      <w:r w:rsidRPr="00D1692C">
        <w:rPr>
          <w:rFonts w:cs="Arial"/>
        </w:rPr>
        <w:t>s 600,000 GGEs.</w:t>
      </w:r>
      <w:r w:rsidR="00BB22D2" w:rsidRPr="00D1692C">
        <w:rPr>
          <w:rFonts w:cs="Arial"/>
        </w:rPr>
        <w:t xml:space="preserve"> For fuels dispensed as a gas (e</w:t>
      </w:r>
      <w:r w:rsidRPr="00D1692C">
        <w:rPr>
          <w:rFonts w:cs="Arial"/>
        </w:rPr>
        <w:t>.</w:t>
      </w:r>
      <w:r w:rsidR="00BB22D2" w:rsidRPr="00D1692C">
        <w:rPr>
          <w:rFonts w:cs="Arial"/>
        </w:rPr>
        <w:t>g.,</w:t>
      </w:r>
      <w:r w:rsidRPr="00D1692C">
        <w:rPr>
          <w:rFonts w:cs="Arial"/>
        </w:rPr>
        <w:t xml:space="preserve"> CNG), the </w:t>
      </w:r>
      <w:r w:rsidRPr="00D1692C">
        <w:rPr>
          <w:rFonts w:cs="Arial"/>
          <w:i/>
        </w:rPr>
        <w:t>Fuel Throughput Volume per Station</w:t>
      </w:r>
      <w:r w:rsidRPr="00D1692C">
        <w:rPr>
          <w:rFonts w:cs="Arial"/>
        </w:rPr>
        <w:t xml:space="preserve"> is instead a constant 400,000 therms, or 456,000 GGEs.</w:t>
      </w:r>
      <w:r w:rsidRPr="00D1692C">
        <w:rPr>
          <w:rStyle w:val="FootnoteReference"/>
          <w:rFonts w:cs="Arial"/>
        </w:rPr>
        <w:footnoteReference w:id="195"/>
      </w:r>
    </w:p>
    <w:p w:rsidR="00682BA3" w:rsidRPr="003B2001" w:rsidRDefault="00682BA3">
      <w:pPr>
        <w:rPr>
          <w:rFonts w:ascii="Arial" w:hAnsi="Arial" w:cs="Arial"/>
          <w:sz w:val="24"/>
          <w:szCs w:val="24"/>
        </w:rPr>
      </w:pPr>
    </w:p>
    <w:sectPr w:rsidR="00682BA3" w:rsidRPr="003B2001" w:rsidSect="00252FBF">
      <w:footerReference w:type="default" r:id="rId2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9D1" w:rsidRDefault="008359D1" w:rsidP="00A54E30">
      <w:pPr>
        <w:spacing w:after="0" w:line="240" w:lineRule="auto"/>
      </w:pPr>
      <w:r>
        <w:separator/>
      </w:r>
    </w:p>
  </w:endnote>
  <w:endnote w:type="continuationSeparator" w:id="0">
    <w:p w:rsidR="008359D1" w:rsidRDefault="008359D1" w:rsidP="00A54E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Helvetica">
    <w:panose1 w:val="00000000000000000000"/>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A3B" w:rsidRDefault="00E01A3B" w:rsidP="00973D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01A3B" w:rsidRDefault="00E01A3B" w:rsidP="00973DB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A3B" w:rsidRPr="00D2195F" w:rsidRDefault="00E01A3B" w:rsidP="00973DBF">
    <w:pPr>
      <w:pStyle w:val="Footer"/>
      <w:tabs>
        <w:tab w:val="right" w:pos="9180"/>
      </w:tabs>
      <w:ind w:right="360"/>
      <w:rPr>
        <w:rFonts w:ascii="Arial" w:hAnsi="Arial" w:cs="Arial"/>
        <w:sz w:val="18"/>
        <w:szCs w:val="18"/>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9D1" w:rsidRDefault="008359D1" w:rsidP="00973D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359D1" w:rsidRDefault="008359D1" w:rsidP="00973DBF">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9D1" w:rsidRPr="00D2195F" w:rsidRDefault="008359D1" w:rsidP="00973DBF">
    <w:pPr>
      <w:pStyle w:val="Footer"/>
      <w:tabs>
        <w:tab w:val="right" w:pos="9180"/>
      </w:tabs>
      <w:ind w:right="360"/>
      <w:rPr>
        <w:rFonts w:ascii="Arial" w:hAnsi="Arial" w:cs="Arial"/>
        <w:sz w:val="18"/>
        <w:szCs w:val="18"/>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6170954"/>
      <w:docPartObj>
        <w:docPartGallery w:val="Page Numbers (Bottom of Page)"/>
        <w:docPartUnique/>
      </w:docPartObj>
    </w:sdtPr>
    <w:sdtEndPr>
      <w:rPr>
        <w:noProof/>
      </w:rPr>
    </w:sdtEndPr>
    <w:sdtContent>
      <w:p w:rsidR="008359D1" w:rsidRPr="008E79A2" w:rsidRDefault="008359D1" w:rsidP="008E79A2">
        <w:pPr>
          <w:pStyle w:val="Footer"/>
        </w:pPr>
        <w:r w:rsidRPr="00543D41">
          <w:rPr>
            <w:i/>
            <w:sz w:val="20"/>
          </w:rPr>
          <w:tab/>
        </w:r>
        <w:r>
          <w:rPr>
            <w:i/>
          </w:rPr>
          <w:tab/>
        </w:r>
        <w:r w:rsidRPr="00543D41">
          <w:rPr>
            <w:sz w:val="20"/>
          </w:rPr>
          <w:fldChar w:fldCharType="begin"/>
        </w:r>
        <w:r w:rsidRPr="00543D41">
          <w:rPr>
            <w:sz w:val="20"/>
          </w:rPr>
          <w:instrText xml:space="preserve"> PAGE   \* MERGEFORMAT </w:instrText>
        </w:r>
        <w:r w:rsidRPr="00543D41">
          <w:rPr>
            <w:sz w:val="20"/>
          </w:rPr>
          <w:fldChar w:fldCharType="separate"/>
        </w:r>
        <w:r w:rsidR="00E01A3B">
          <w:rPr>
            <w:noProof/>
            <w:sz w:val="20"/>
          </w:rPr>
          <w:t>i</w:t>
        </w:r>
        <w:r w:rsidRPr="00543D41">
          <w:rPr>
            <w:noProof/>
            <w:sz w:val="20"/>
          </w:rPr>
          <w:fldChar w:fldCharType="end"/>
        </w:r>
      </w:p>
    </w:sdtContent>
  </w:sdt>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0274720"/>
      <w:docPartObj>
        <w:docPartGallery w:val="Page Numbers (Bottom of Page)"/>
        <w:docPartUnique/>
      </w:docPartObj>
    </w:sdtPr>
    <w:sdtEndPr>
      <w:rPr>
        <w:noProof/>
      </w:rPr>
    </w:sdtEndPr>
    <w:sdtContent>
      <w:p w:rsidR="008359D1" w:rsidRDefault="008359D1" w:rsidP="008E79A2">
        <w:pPr>
          <w:pStyle w:val="Footer"/>
        </w:pPr>
        <w:r w:rsidRPr="00543D41">
          <w:rPr>
            <w:i/>
            <w:sz w:val="20"/>
          </w:rPr>
          <w:tab/>
        </w:r>
        <w:r>
          <w:rPr>
            <w:i/>
          </w:rPr>
          <w:tab/>
        </w:r>
        <w:r w:rsidRPr="00543D41">
          <w:rPr>
            <w:sz w:val="20"/>
          </w:rPr>
          <w:fldChar w:fldCharType="begin"/>
        </w:r>
        <w:r w:rsidRPr="00543D41">
          <w:rPr>
            <w:sz w:val="20"/>
          </w:rPr>
          <w:instrText xml:space="preserve"> PAGE   \* MERGEFORMAT </w:instrText>
        </w:r>
        <w:r w:rsidRPr="00543D41">
          <w:rPr>
            <w:sz w:val="20"/>
          </w:rPr>
          <w:fldChar w:fldCharType="separate"/>
        </w:r>
        <w:r w:rsidR="00E01A3B">
          <w:rPr>
            <w:noProof/>
            <w:sz w:val="20"/>
          </w:rPr>
          <w:t>66</w:t>
        </w:r>
        <w:r w:rsidRPr="00543D41">
          <w:rPr>
            <w:noProof/>
            <w:sz w:val="20"/>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9D1" w:rsidRDefault="008359D1" w:rsidP="00A54E30">
      <w:pPr>
        <w:spacing w:after="0" w:line="240" w:lineRule="auto"/>
      </w:pPr>
      <w:r>
        <w:separator/>
      </w:r>
    </w:p>
  </w:footnote>
  <w:footnote w:type="continuationSeparator" w:id="0">
    <w:p w:rsidR="008359D1" w:rsidRDefault="008359D1" w:rsidP="00A54E30">
      <w:pPr>
        <w:spacing w:after="0" w:line="240" w:lineRule="auto"/>
      </w:pPr>
      <w:r>
        <w:continuationSeparator/>
      </w:r>
    </w:p>
  </w:footnote>
  <w:footnote w:id="1">
    <w:p w:rsidR="008359D1" w:rsidRPr="00D45363" w:rsidRDefault="008359D1">
      <w:pPr>
        <w:pStyle w:val="FootnoteText"/>
        <w:rPr>
          <w:sz w:val="16"/>
          <w:szCs w:val="16"/>
        </w:rPr>
      </w:pPr>
      <w:r w:rsidRPr="00D45363">
        <w:rPr>
          <w:rStyle w:val="FootnoteReference"/>
          <w:sz w:val="16"/>
          <w:szCs w:val="16"/>
        </w:rPr>
        <w:footnoteRef/>
      </w:r>
      <w:r w:rsidRPr="00D45363">
        <w:rPr>
          <w:sz w:val="16"/>
          <w:szCs w:val="16"/>
        </w:rPr>
        <w:t xml:space="preserve"> </w:t>
      </w:r>
      <w:r w:rsidRPr="00D45363">
        <w:rPr>
          <w:rFonts w:cs="Arial"/>
          <w:sz w:val="16"/>
          <w:szCs w:val="16"/>
        </w:rPr>
        <w:t xml:space="preserve">Numerous abbreviations are used throughout this paper. </w:t>
      </w:r>
      <w:r>
        <w:rPr>
          <w:rFonts w:cs="Arial"/>
          <w:sz w:val="16"/>
          <w:szCs w:val="16"/>
        </w:rPr>
        <w:t xml:space="preserve">Each abbreviation, along with the associated term, </w:t>
      </w:r>
      <w:r w:rsidRPr="00D45363">
        <w:rPr>
          <w:rFonts w:cs="Arial"/>
          <w:sz w:val="16"/>
          <w:szCs w:val="16"/>
        </w:rPr>
        <w:t>is listed in Appendix A.</w:t>
      </w:r>
    </w:p>
  </w:footnote>
  <w:footnote w:id="2">
    <w:p w:rsidR="008359D1" w:rsidRPr="00027429" w:rsidRDefault="008359D1" w:rsidP="00B42A84">
      <w:pPr>
        <w:pStyle w:val="FootnoteText"/>
        <w:rPr>
          <w:rFonts w:cs="Arial"/>
          <w:sz w:val="16"/>
          <w:szCs w:val="16"/>
        </w:rPr>
      </w:pPr>
      <w:r w:rsidRPr="00D45363">
        <w:rPr>
          <w:rStyle w:val="FootnoteReference"/>
          <w:rFonts w:cs="Arial"/>
          <w:sz w:val="16"/>
          <w:szCs w:val="16"/>
        </w:rPr>
        <w:footnoteRef/>
      </w:r>
      <w:r w:rsidRPr="00D45363">
        <w:rPr>
          <w:rFonts w:cs="Arial"/>
          <w:sz w:val="16"/>
          <w:szCs w:val="16"/>
        </w:rPr>
        <w:t xml:space="preserve"> EIA. (2012). “Annual Energy Outlook</w:t>
      </w:r>
      <w:r w:rsidRPr="00027429">
        <w:rPr>
          <w:rFonts w:cs="Arial"/>
          <w:sz w:val="16"/>
          <w:szCs w:val="16"/>
        </w:rPr>
        <w:t xml:space="preserve"> 2012 with Projections to 2035.” DOE/EIA-0383(2012). Energy Information Administration, United States Department of Energy. June 2012. &lt;http://www.eia.gov/forecasts/aeo/pdf/0383(2012).pdf&gt;.</w:t>
      </w:r>
    </w:p>
  </w:footnote>
  <w:footnote w:id="3">
    <w:p w:rsidR="008359D1" w:rsidRPr="00027429" w:rsidRDefault="008359D1" w:rsidP="002740E1">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Durbin, Dee-Ann. (2013). “Natural Gas Vehicles Making Inroads; Sales Rising.” Associated Press. March 5, 2013. &lt;http://bigstory.ap.org/article/natural-gas-vehicles-making-inroads-sales-rising&gt;.</w:t>
      </w:r>
    </w:p>
  </w:footnote>
  <w:footnote w:id="4">
    <w:p w:rsidR="008359D1" w:rsidRPr="00027429" w:rsidRDefault="008359D1" w:rsidP="002740E1">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ANFAVEA. (2013). "Carta da ANFAVEA." Associação Nacional dos Fabricantes de Veículos Automotores. January 2013. &lt;http://www.anfavea.com.br/cartas/Carta320.pdf&gt;.</w:t>
      </w:r>
    </w:p>
  </w:footnote>
  <w:footnote w:id="5">
    <w:p w:rsidR="008359D1" w:rsidRPr="00027429" w:rsidRDefault="008359D1" w:rsidP="002740E1">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EERE. (2013). Alternative Fuels Data Center. Energy Efficiency &amp; Renewable Energy, United States Department of Energy. Accessed February 13, 2013. &lt;http://www.afdc.energy.gov/&gt;.</w:t>
      </w:r>
    </w:p>
  </w:footnote>
  <w:footnote w:id="6">
    <w:p w:rsidR="008359D1" w:rsidRPr="00027429" w:rsidRDefault="008359D1" w:rsidP="009957C4">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Greene, David L. (1990). “Fuel Choice for Multi-Fuel Vehicles.” Contemporary Economic Policy. Volume 8, Issue 4, pp. 118-137. October 1990.</w:t>
      </w:r>
    </w:p>
  </w:footnote>
  <w:footnote w:id="7">
    <w:p w:rsidR="008359D1" w:rsidRPr="00027429" w:rsidRDefault="008359D1">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NPC. (2012). “Chapter 5: Infrastructure.” Advancing Technology for America’s Transportation Future. National Petroleum Council. August 11, 2012. &lt;http://www.npc.org/FTF-report-080112/Chapter_5-Infrastructure-021113.pdf&gt;.</w:t>
      </w:r>
    </w:p>
  </w:footnote>
  <w:footnote w:id="8">
    <w:p w:rsidR="008359D1" w:rsidRPr="00027429" w:rsidRDefault="008359D1" w:rsidP="00326E59">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EERE. (2013). Alternative Fuels Data Center.</w:t>
      </w:r>
    </w:p>
  </w:footnote>
  <w:footnote w:id="9">
    <w:p w:rsidR="008359D1" w:rsidRPr="00027429" w:rsidRDefault="008359D1">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This includes pure biodiesel (B100), which was classified as an alternative by the U.S. Department of Energy fuel in 1996.</w:t>
      </w:r>
    </w:p>
  </w:footnote>
  <w:footnote w:id="10">
    <w:p w:rsidR="008359D1" w:rsidRPr="00027429" w:rsidRDefault="008359D1">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P-series fuels are renewable, liquid fuels that contain a mixture of ethanol and other flammable hydrocarbons such as butane and pentane. The U.S. Department of Energy classified three P-Series fuels as alternative fuels in 1999.</w:t>
      </w:r>
    </w:p>
  </w:footnote>
  <w:footnote w:id="11">
    <w:p w:rsidR="008359D1" w:rsidRPr="00027429" w:rsidRDefault="008359D1">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EIA. (2012). “Frequently Asked Questions.” United States Energy Information Administration. September 5, 2012. &lt;http://www.eia.gov/tools/faqs/&gt;.</w:t>
      </w:r>
    </w:p>
  </w:footnote>
  <w:footnote w:id="12">
    <w:p w:rsidR="008359D1" w:rsidRPr="00027429" w:rsidRDefault="008359D1">
      <w:pPr>
        <w:pStyle w:val="FootnoteText"/>
        <w:rPr>
          <w:rFonts w:cs="Arial"/>
        </w:rPr>
      </w:pPr>
      <w:r w:rsidRPr="00027429">
        <w:rPr>
          <w:rStyle w:val="FootnoteReference"/>
          <w:rFonts w:cs="Arial"/>
          <w:sz w:val="16"/>
        </w:rPr>
        <w:footnoteRef/>
      </w:r>
      <w:r w:rsidRPr="00027429">
        <w:rPr>
          <w:rFonts w:cs="Arial"/>
          <w:sz w:val="16"/>
        </w:rPr>
        <w:t xml:space="preserve"> This effect can easily be illustrated with vehicles, such as the Volkswagen Passat, that have both gasoline and diesel versions. The Passat diesel gets 34 mpg, and the gasoline-powered Passat gets 26 mpg gasoline. The diesel version gets 30.7 percent higher fuel economy, but only a 17.3 percent reduction in CO2.</w:t>
      </w:r>
    </w:p>
  </w:footnote>
  <w:footnote w:id="13">
    <w:p w:rsidR="008359D1" w:rsidRPr="00027429" w:rsidRDefault="008359D1" w:rsidP="00B75B29">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Verboven, Frank. (2002). “Quality-Based Price Discrimination and Tax Incidence: Evidence From Gasoline and Diesel Cars.” RAND Journal of Economics. Volume 3, Issue 2, pp. 275-297. Summer 2002. </w:t>
      </w:r>
    </w:p>
  </w:footnote>
  <w:footnote w:id="14">
    <w:p w:rsidR="008359D1" w:rsidRPr="00027429" w:rsidRDefault="008359D1" w:rsidP="00216C49">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Hard, Mikael and Andrew Jamison. (1997). “Alternative Cars: The Contrasting Stories of Steam and Diesel Automotive Engines.” Technology in Society. Volume 19, Number 2, pp. 145-160. April 1997.</w:t>
      </w:r>
    </w:p>
  </w:footnote>
  <w:footnote w:id="15">
    <w:p w:rsidR="008359D1" w:rsidRPr="00027429" w:rsidRDefault="008359D1" w:rsidP="00216C49">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Hard, Mikael and Andrew Jamison. (1997). “Alternative Cars.”</w:t>
      </w:r>
    </w:p>
  </w:footnote>
  <w:footnote w:id="16">
    <w:p w:rsidR="008359D1" w:rsidRPr="00027429" w:rsidRDefault="008359D1" w:rsidP="00216C49">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U.S. Coalition for Advanced Diesel Cars. (2013). “Where is Clean Diesel Available?” U.S. Coalition for Advanced Diesel Cars Website. Accessed February 27, 2013 &lt;http://www.cleandieseldelivers.com/CLEAN%20DIESEL%20101/Where%20is%20Clean%20Diesel%20Fuel%20Available.html&gt;.</w:t>
      </w:r>
    </w:p>
  </w:footnote>
  <w:footnote w:id="17">
    <w:p w:rsidR="008359D1" w:rsidRPr="00027429" w:rsidRDefault="008359D1" w:rsidP="00216C49">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Mock, Peter. (2012). “European Vehicle Market Statistics: Pocketbook 2012.” The International Council on Clean Transportation. October 29, 2012. &lt; http://www.theicct.org/european-vehicle-market-statistics-2012&gt;.</w:t>
      </w:r>
    </w:p>
  </w:footnote>
  <w:footnote w:id="18">
    <w:p w:rsidR="008359D1" w:rsidRPr="00027429" w:rsidRDefault="008359D1" w:rsidP="00216C49">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Gordon-Bloomfield, Nikki. (2012). “U.S. Car Buyers Like Hybrids, Europeans Go For Diesels; Why?” Green Car Reports. September 26, 2012. &lt;http://www.greencarreports.com/news/1079415_u-s-car-buyers-like-hybrids-europeans-go-for-diesels-why&gt;.</w:t>
      </w:r>
    </w:p>
  </w:footnote>
  <w:footnote w:id="19">
    <w:p w:rsidR="008359D1" w:rsidRPr="00027429" w:rsidRDefault="008359D1">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EERE. (2013). Alternative Fuels Data Center.</w:t>
      </w:r>
    </w:p>
  </w:footnote>
  <w:footnote w:id="20">
    <w:p w:rsidR="008359D1" w:rsidRPr="00027429" w:rsidRDefault="008359D1" w:rsidP="00BE5369">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EERE. (2013). Alternative Fuels Data Center.</w:t>
      </w:r>
    </w:p>
  </w:footnote>
  <w:footnote w:id="21">
    <w:p w:rsidR="008359D1" w:rsidRPr="00027429" w:rsidRDefault="008359D1">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EIA. (2012). “Annual Energy Outlook 2012</w:t>
      </w:r>
      <w:r>
        <w:rPr>
          <w:rFonts w:cs="Arial"/>
          <w:sz w:val="16"/>
          <w:szCs w:val="16"/>
        </w:rPr>
        <w:t>.”</w:t>
      </w:r>
    </w:p>
  </w:footnote>
  <w:footnote w:id="22">
    <w:p w:rsidR="008359D1" w:rsidRPr="00027429" w:rsidRDefault="008359D1">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SAE. (2012). “J1772 'combo connector' shown at the 2012 Electric Vehicle Symposium.” Society of Automobile Engineers. May 3, 2012. &lt;http://ev.sae.org/article/11005&gt;.</w:t>
      </w:r>
    </w:p>
  </w:footnote>
  <w:footnote w:id="23">
    <w:p w:rsidR="008359D1" w:rsidRPr="00027429" w:rsidRDefault="008359D1" w:rsidP="00F8074A">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SAE. (2012). “J1772 'combo connector' shown at the 2012 Electric Vehicle Symposium.”</w:t>
      </w:r>
    </w:p>
  </w:footnote>
  <w:footnote w:id="24">
    <w:p w:rsidR="008359D1" w:rsidRPr="00027429" w:rsidRDefault="008359D1">
      <w:pPr>
        <w:pStyle w:val="FootnoteText"/>
      </w:pPr>
      <w:r w:rsidRPr="00027429">
        <w:rPr>
          <w:rStyle w:val="FootnoteReference"/>
          <w:rFonts w:cs="Arial"/>
          <w:sz w:val="16"/>
          <w:szCs w:val="16"/>
        </w:rPr>
        <w:footnoteRef/>
      </w:r>
      <w:r w:rsidRPr="00027429">
        <w:rPr>
          <w:rFonts w:cs="Arial"/>
          <w:sz w:val="16"/>
          <w:szCs w:val="16"/>
        </w:rPr>
        <w:t xml:space="preserve"> EIA. (2012). “Annual Energy Outlook 2012.”</w:t>
      </w:r>
    </w:p>
  </w:footnote>
  <w:footnote w:id="25">
    <w:p w:rsidR="008359D1" w:rsidRPr="00027429" w:rsidRDefault="008359D1" w:rsidP="00826007">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EERE. (2013). Alternative Fuels Data Center.</w:t>
      </w:r>
    </w:p>
  </w:footnote>
  <w:footnote w:id="26">
    <w:p w:rsidR="008359D1" w:rsidRPr="00027429" w:rsidRDefault="008359D1" w:rsidP="00AE1177">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NAS. (2013). “Transitions to Alternative Vehicles and Fuels.” Committee on Transitions to Alternative Vehicles and Fuels; Board on Energy and Environmental Systems; Division on Engineering and Physical Sciences; National Research Council. National Academy of Sciences. March 2013. &lt;https://download.nap.edu/catalog.php?record_id=18264&gt;.</w:t>
      </w:r>
    </w:p>
  </w:footnote>
  <w:footnote w:id="27">
    <w:p w:rsidR="008359D1" w:rsidRPr="00524293" w:rsidRDefault="008359D1" w:rsidP="00E85C44">
      <w:pPr>
        <w:pStyle w:val="FootnoteText"/>
        <w:rPr>
          <w:rFonts w:ascii="Arial" w:hAnsi="Arial" w:cs="Arial"/>
          <w:sz w:val="16"/>
          <w:szCs w:val="16"/>
        </w:rPr>
      </w:pPr>
      <w:r w:rsidRPr="00027429">
        <w:rPr>
          <w:rStyle w:val="FootnoteReference"/>
          <w:rFonts w:cs="Arial"/>
          <w:sz w:val="16"/>
          <w:szCs w:val="16"/>
        </w:rPr>
        <w:footnoteRef/>
      </w:r>
      <w:r w:rsidRPr="00027429">
        <w:rPr>
          <w:rFonts w:cs="Arial"/>
          <w:sz w:val="16"/>
          <w:szCs w:val="16"/>
        </w:rPr>
        <w:t xml:space="preserve"> NAS. (2013). “Transitions to Alternative Vehicles and Fuels.”</w:t>
      </w:r>
    </w:p>
  </w:footnote>
  <w:footnote w:id="28">
    <w:p w:rsidR="008359D1" w:rsidRPr="00027429" w:rsidRDefault="008359D1" w:rsidP="00E1049C">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w:t>
      </w:r>
      <w:r>
        <w:rPr>
          <w:rFonts w:cs="Arial"/>
          <w:sz w:val="16"/>
          <w:szCs w:val="16"/>
        </w:rPr>
        <w:t>Clean Cities</w:t>
      </w:r>
      <w:r w:rsidRPr="00027429">
        <w:rPr>
          <w:rFonts w:cs="Arial"/>
          <w:sz w:val="16"/>
          <w:szCs w:val="16"/>
        </w:rPr>
        <w:t xml:space="preserve">. (2013). </w:t>
      </w:r>
      <w:r>
        <w:rPr>
          <w:rFonts w:cs="Arial"/>
          <w:sz w:val="16"/>
          <w:szCs w:val="16"/>
        </w:rPr>
        <w:t>“Clean Cities Alternative Fuel Price Report, January 2013.” Energy Efficiency &amp; Renewable Energy, United States Department of Energy</w:t>
      </w:r>
      <w:r w:rsidRPr="00027429">
        <w:rPr>
          <w:rFonts w:cs="Arial"/>
          <w:sz w:val="16"/>
          <w:szCs w:val="16"/>
        </w:rPr>
        <w:t>.</w:t>
      </w:r>
      <w:r>
        <w:rPr>
          <w:rFonts w:cs="Arial"/>
          <w:sz w:val="16"/>
          <w:szCs w:val="16"/>
        </w:rPr>
        <w:t xml:space="preserve"> January 2013. &lt;</w:t>
      </w:r>
      <w:r w:rsidRPr="006E68C1">
        <w:rPr>
          <w:rFonts w:cs="Arial"/>
          <w:sz w:val="16"/>
          <w:szCs w:val="16"/>
        </w:rPr>
        <w:t>http://www.afdc.energy.gov/uploads/publication/alternative_fuel_price_report_jan_2013.pdf</w:t>
      </w:r>
      <w:r>
        <w:rPr>
          <w:rFonts w:cs="Arial"/>
          <w:sz w:val="16"/>
          <w:szCs w:val="16"/>
        </w:rPr>
        <w:t>&gt;.</w:t>
      </w:r>
    </w:p>
  </w:footnote>
  <w:footnote w:id="29">
    <w:p w:rsidR="008359D1" w:rsidRPr="00022913" w:rsidRDefault="008359D1" w:rsidP="006A63AF">
      <w:pPr>
        <w:pStyle w:val="FootnoteText"/>
        <w:rPr>
          <w:rFonts w:cs="Arial"/>
          <w:sz w:val="16"/>
          <w:szCs w:val="16"/>
        </w:rPr>
      </w:pPr>
      <w:r w:rsidRPr="00022913">
        <w:rPr>
          <w:rStyle w:val="FootnoteReference"/>
          <w:rFonts w:cs="Arial"/>
          <w:sz w:val="16"/>
          <w:szCs w:val="16"/>
        </w:rPr>
        <w:footnoteRef/>
      </w:r>
      <w:r w:rsidRPr="00022913">
        <w:rPr>
          <w:rFonts w:cs="Arial"/>
          <w:sz w:val="16"/>
          <w:szCs w:val="16"/>
        </w:rPr>
        <w:t xml:space="preserve"> EERE. (2013). Alternative Fuels Data Center.</w:t>
      </w:r>
    </w:p>
  </w:footnote>
  <w:footnote w:id="30">
    <w:p w:rsidR="008359D1" w:rsidRPr="00022913" w:rsidRDefault="008359D1" w:rsidP="00DE45F0">
      <w:pPr>
        <w:pStyle w:val="FootnoteText"/>
        <w:rPr>
          <w:rFonts w:cs="Arial"/>
          <w:sz w:val="16"/>
          <w:szCs w:val="16"/>
        </w:rPr>
      </w:pPr>
      <w:r w:rsidRPr="00022913">
        <w:rPr>
          <w:rStyle w:val="FootnoteReference"/>
          <w:rFonts w:cs="Arial"/>
          <w:sz w:val="16"/>
          <w:szCs w:val="16"/>
        </w:rPr>
        <w:footnoteRef/>
      </w:r>
      <w:r w:rsidRPr="00022913">
        <w:rPr>
          <w:rFonts w:cs="Arial"/>
          <w:sz w:val="16"/>
          <w:szCs w:val="16"/>
        </w:rPr>
        <w:t xml:space="preserve"> Such feedstocks for drop-in biofuels include crop residues, woody biomass, dedicated energy crops, and algae.</w:t>
      </w:r>
    </w:p>
  </w:footnote>
  <w:footnote w:id="31">
    <w:p w:rsidR="008359D1" w:rsidRPr="00022913" w:rsidRDefault="008359D1" w:rsidP="00DE45F0">
      <w:pPr>
        <w:pStyle w:val="FootnoteText"/>
        <w:rPr>
          <w:rFonts w:cs="Arial"/>
          <w:sz w:val="16"/>
          <w:szCs w:val="16"/>
        </w:rPr>
      </w:pPr>
      <w:r w:rsidRPr="00022913">
        <w:rPr>
          <w:rStyle w:val="FootnoteReference"/>
          <w:rFonts w:cs="Arial"/>
          <w:sz w:val="16"/>
          <w:szCs w:val="16"/>
        </w:rPr>
        <w:footnoteRef/>
      </w:r>
      <w:r w:rsidRPr="00022913">
        <w:rPr>
          <w:rFonts w:cs="Arial"/>
          <w:sz w:val="16"/>
          <w:szCs w:val="16"/>
        </w:rPr>
        <w:t xml:space="preserve"> NAS. (2013). “Transitions to Alternative Vehicles and Fuels.”</w:t>
      </w:r>
    </w:p>
  </w:footnote>
  <w:footnote w:id="32">
    <w:p w:rsidR="008359D1" w:rsidRPr="00E3348C" w:rsidRDefault="008359D1" w:rsidP="003E472F">
      <w:pPr>
        <w:pStyle w:val="FootnoteText"/>
        <w:rPr>
          <w:rFonts w:ascii="Arial" w:hAnsi="Arial" w:cs="Arial"/>
          <w:sz w:val="16"/>
          <w:szCs w:val="16"/>
        </w:rPr>
      </w:pPr>
      <w:r w:rsidRPr="00022913">
        <w:rPr>
          <w:rStyle w:val="FootnoteReference"/>
          <w:rFonts w:cs="Arial"/>
          <w:sz w:val="16"/>
          <w:szCs w:val="16"/>
        </w:rPr>
        <w:footnoteRef/>
      </w:r>
      <w:r w:rsidRPr="00022913">
        <w:rPr>
          <w:rFonts w:cs="Arial"/>
          <w:sz w:val="16"/>
          <w:szCs w:val="16"/>
        </w:rPr>
        <w:t xml:space="preserve"> For all fuel types, the MPG/e value was calculated as the average MPG/e of a selection of model year 2012 and 2013 vehicles, as given by the EPA, via fueleconomy.gov. For gasoline vehicles, the selected vehicles were the 25 top-selling cars in calendar year 2012, per Automotive News. For BEVs, the average MPGe was calculated from the values of all vehicles for which this information was available. Similarly, all PHEVs for which information was available were included - save for the Fisker Karma, which was excluded as an extreme outlier. The effect of removing the Karma was to increase the MPGe estimate, as the Karma's MPGe is only 54, whereas all other PHEVs possess MPGe values in the range of 94 through 100. Only one CNG passenger car was listed for the 2012 and 2013 model years - the 2012 Honda Civic CNG. Thus, the CNG MPG estimate represents this vehicle. The MPG estimate for E85 vehicles was calculated from the MPG achieved by flex fuel vehicles, when fueled by E85 (All E85-capable vehicles listed are flex fuel vehicles). The vehicles included for this calculation were the flex fuel versions of the 25 top selling, calendar year 2012 passenger cars. The MPG/e of the Honda FCX Clarity was used as a proxy for hydrogen fuel cell vehicles because data on other fuel cell vehicles was not available.</w:t>
      </w:r>
    </w:p>
  </w:footnote>
  <w:footnote w:id="33">
    <w:p w:rsidR="008359D1" w:rsidRPr="00027429" w:rsidRDefault="008359D1" w:rsidP="003426F3">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EERE. (2013). Alternative Fuels Data Center.</w:t>
      </w:r>
    </w:p>
  </w:footnote>
  <w:footnote w:id="34">
    <w:p w:rsidR="008359D1" w:rsidRPr="00027429" w:rsidRDefault="008359D1" w:rsidP="0078480F">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Cordonnier, Vanessa M. (2008). “Ethanol's Roots: How Brazilian Legislation Created the International Ethanol Boom” William &amp; Mary Environmental Law and Policy Review. Volume 33, Issue 1. pp. 287-317. 2008. &lt;http://scholarship.law.wm.edu/wmelpr/vol33/iss1/6&gt;.</w:t>
      </w:r>
    </w:p>
  </w:footnote>
  <w:footnote w:id="35">
    <w:p w:rsidR="008359D1" w:rsidRPr="00027429" w:rsidRDefault="008359D1" w:rsidP="0078480F">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Cordonnier, Vanessa M. (2008). “Ethanol's Roots.”</w:t>
      </w:r>
    </w:p>
  </w:footnote>
  <w:footnote w:id="36">
    <w:p w:rsidR="008359D1" w:rsidRPr="00027429" w:rsidRDefault="008359D1" w:rsidP="0078480F">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Cordonnier, Vanessa M. (2008). “Ethanol's Roots.”</w:t>
      </w:r>
    </w:p>
  </w:footnote>
  <w:footnote w:id="37">
    <w:p w:rsidR="008359D1" w:rsidRPr="00027429" w:rsidRDefault="008359D1" w:rsidP="0078480F">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Cordonnier, Vanessa M. (2008). “Ethanol's Roots.”</w:t>
      </w:r>
    </w:p>
  </w:footnote>
  <w:footnote w:id="38">
    <w:p w:rsidR="008359D1" w:rsidRPr="00027429" w:rsidRDefault="008359D1" w:rsidP="0078480F">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ANFAVEA. (2011). “Brazilian Automotive Industry Yearbook 2011.” Associação Nacional dos Fabricantes de Veículos Automotores. São Paulo, 2011. &lt;http://www.virapagina.com.br/anfavea2011/files/anfavea_2011.pdf&gt;. </w:t>
      </w:r>
    </w:p>
  </w:footnote>
  <w:footnote w:id="39">
    <w:p w:rsidR="008359D1" w:rsidRPr="00027429" w:rsidRDefault="008359D1" w:rsidP="0078480F">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Lemos, William. (2007). “The Brazilian Ethanol Model.” ICIS News. February 5, 2007. &lt;http://www.icis.com/Articles/2007/02/12/4500680/the-brazilian-ethanol-model.html&gt;.</w:t>
      </w:r>
    </w:p>
  </w:footnote>
  <w:footnote w:id="40">
    <w:p w:rsidR="008359D1" w:rsidRPr="00027429" w:rsidRDefault="008359D1" w:rsidP="0078480F">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Dickerson, Maria. (2005). “Brazil's ethanol effort helping lead to oil self-sufficiency.” The Seattle Times. June 17, 2005. &lt;http://seattletimes.com/html/nationworld/2002339093_brazilfuel17.html&gt;.</w:t>
      </w:r>
    </w:p>
  </w:footnote>
  <w:footnote w:id="41">
    <w:p w:rsidR="008359D1" w:rsidRPr="00027429" w:rsidRDefault="008359D1" w:rsidP="0078480F">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ANFAVEA. (2011). “Brazilian Automotive Industry Yearbook 2011.”</w:t>
      </w:r>
    </w:p>
  </w:footnote>
  <w:footnote w:id="42">
    <w:p w:rsidR="008359D1" w:rsidRPr="00027429" w:rsidRDefault="008359D1" w:rsidP="0078480F">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Garten Rothkopf. (2007) “A Blueprint for Green Energy in the Americas.” Prepared for the Inter-American Development Bank. April 2, 2007. &lt;http://www.aladda.com/trabajos/Interdevelopment3Bank2Bio0Fuels.pdf&gt;.</w:t>
      </w:r>
    </w:p>
  </w:footnote>
  <w:footnote w:id="43">
    <w:p w:rsidR="008359D1" w:rsidRPr="00027429" w:rsidRDefault="008359D1" w:rsidP="0078480F">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ANFAVEA. (2011). “Brazilian Automotive Industry Yearbook 2011.”</w:t>
      </w:r>
    </w:p>
  </w:footnote>
  <w:footnote w:id="44">
    <w:p w:rsidR="008359D1" w:rsidRPr="00027429" w:rsidRDefault="008359D1" w:rsidP="0078480F">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Cordonnier, Vanessa M. (2008). “Ethanol's Roots.”</w:t>
      </w:r>
    </w:p>
  </w:footnote>
  <w:footnote w:id="45">
    <w:p w:rsidR="008359D1" w:rsidRPr="00027429" w:rsidRDefault="008359D1" w:rsidP="0078480F">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Millard, Peter and Stephan Nielson. (2012). “Brazil Ministry Calls for Return of Ethanol Fuel Blend to 25%.” Bloomberg. October 9, 2012. &lt;http://www.bloomberg.com/news/2012-10-09/brazil-ministry-calls-for-return-of-ethanol-fuel-blend-to-25-.html&gt;.</w:t>
      </w:r>
    </w:p>
  </w:footnote>
  <w:footnote w:id="46">
    <w:p w:rsidR="008359D1" w:rsidRPr="00027429" w:rsidRDefault="008359D1" w:rsidP="0078480F">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Cordonnier, Vanessa M. (2008). “Ethanol's Roots.”</w:t>
      </w:r>
    </w:p>
  </w:footnote>
  <w:footnote w:id="47">
    <w:p w:rsidR="008359D1" w:rsidRPr="00027429" w:rsidRDefault="008359D1" w:rsidP="0078480F">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Cordonnier, Vanessa M. (2008). “Ethanol's Roots.”</w:t>
      </w:r>
    </w:p>
  </w:footnote>
  <w:footnote w:id="48">
    <w:p w:rsidR="008359D1" w:rsidRPr="00027429" w:rsidRDefault="008359D1" w:rsidP="0078480F">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USDA. (2006). “The Economic Feasibility of Ethanol Production from Sugar in The United States.” United States Department of Agriculture. July 2006. &lt;http://www.usda.gov/oce/reports/energy/EthanolSugarFeasibilityReport3.pdf&gt;.</w:t>
      </w:r>
    </w:p>
  </w:footnote>
  <w:footnote w:id="49">
    <w:p w:rsidR="008359D1" w:rsidRPr="00027429" w:rsidRDefault="008359D1" w:rsidP="0078480F">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Cordonnier, Vanessa M. (2008). “Ethanol's Roots.”</w:t>
      </w:r>
    </w:p>
  </w:footnote>
  <w:footnote w:id="50">
    <w:p w:rsidR="008359D1" w:rsidRPr="00027429" w:rsidRDefault="008359D1" w:rsidP="0078480F">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Cordonnier, Vanessa M. (2008). “Ethanol's Roots.”</w:t>
      </w:r>
    </w:p>
  </w:footnote>
  <w:footnote w:id="51">
    <w:p w:rsidR="008359D1" w:rsidRPr="00027429" w:rsidRDefault="008359D1" w:rsidP="0078480F">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Cordonnier, Vanessa M. (2008). “Ethanol's Roots.”</w:t>
      </w:r>
    </w:p>
  </w:footnote>
  <w:footnote w:id="52">
    <w:p w:rsidR="008359D1" w:rsidRPr="00027429" w:rsidRDefault="008359D1" w:rsidP="0078480F">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ANFAVEA. (2011). “Brazilian Automotive Industry Yearbook 2011.”</w:t>
      </w:r>
    </w:p>
  </w:footnote>
  <w:footnote w:id="53">
    <w:p w:rsidR="008359D1" w:rsidRPr="00027429" w:rsidRDefault="008359D1">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Ajanovic, Amela. (2011). “The Effects of Dieselization of the European Passenger Car Fleet on Energy Consumption and CO</w:t>
      </w:r>
      <w:r w:rsidRPr="00027429">
        <w:rPr>
          <w:rFonts w:cs="Arial"/>
          <w:sz w:val="16"/>
          <w:szCs w:val="16"/>
          <w:vertAlign w:val="subscript"/>
        </w:rPr>
        <w:t>2</w:t>
      </w:r>
      <w:r w:rsidRPr="00027429">
        <w:rPr>
          <w:rFonts w:cs="Arial"/>
          <w:sz w:val="16"/>
          <w:szCs w:val="16"/>
        </w:rPr>
        <w:t xml:space="preserve"> Emissions.” Presented at 34th IAEE International Conference: Institutions, Efficiency and Evolving Energy Technologies. Stockholm, Sweden. June 19-23, 2011.</w:t>
      </w:r>
    </w:p>
    <w:p w:rsidR="008359D1" w:rsidRPr="00027429" w:rsidRDefault="008359D1">
      <w:pPr>
        <w:pStyle w:val="FootnoteText"/>
        <w:rPr>
          <w:rFonts w:cs="Arial"/>
          <w:sz w:val="16"/>
          <w:szCs w:val="16"/>
        </w:rPr>
      </w:pPr>
      <w:r w:rsidRPr="00027429">
        <w:rPr>
          <w:rFonts w:cs="Arial"/>
          <w:sz w:val="16"/>
          <w:szCs w:val="16"/>
        </w:rPr>
        <w:t>ACEA. “The Automobile Industry Pocket Guide: 2012.” European Automobile Manufacturers Association. September 18, 2012. &lt;http://www.acea.be/images/uploads/files/ACEA_POCKET_GUIDE_2012_UPDATED.pdf&gt;.</w:t>
      </w:r>
    </w:p>
  </w:footnote>
  <w:footnote w:id="54">
    <w:p w:rsidR="008359D1" w:rsidRPr="00027429" w:rsidRDefault="008359D1" w:rsidP="0078480F">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Hard, Mikael and Andrew Jamison. (1997). “Alternative Cars.”</w:t>
      </w:r>
    </w:p>
  </w:footnote>
  <w:footnote w:id="55">
    <w:p w:rsidR="008359D1" w:rsidRPr="00027429" w:rsidRDefault="008359D1" w:rsidP="002373AB">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Verboven, Frank. (2002). “Quality-Based Price Discrimination and Tax Incidence.” </w:t>
      </w:r>
    </w:p>
  </w:footnote>
  <w:footnote w:id="56">
    <w:p w:rsidR="008359D1" w:rsidRPr="00027429" w:rsidRDefault="008359D1" w:rsidP="0078480F">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Verboven, Frank. (2002). “Quality-Based Price Discrimination and Tax Incidence.”</w:t>
      </w:r>
    </w:p>
  </w:footnote>
  <w:footnote w:id="57">
    <w:p w:rsidR="008359D1" w:rsidRPr="00027429" w:rsidRDefault="008359D1">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Diesel Technology Forum. (2001). “Demand for Diesels: The European Experience.” Diesel Technology Forum. July 2001. &lt;http://www.dieselforum.org/files/dmfile/DemandforDiesels.pdf&gt;.</w:t>
      </w:r>
    </w:p>
  </w:footnote>
  <w:footnote w:id="58">
    <w:p w:rsidR="008359D1" w:rsidRPr="00027429" w:rsidRDefault="008359D1" w:rsidP="00A76076">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Mock, Peter. (2012). “European Vehicle Market Statistics: Pocketbook 2012.”</w:t>
      </w:r>
    </w:p>
  </w:footnote>
  <w:footnote w:id="59">
    <w:p w:rsidR="008359D1" w:rsidRPr="00027429" w:rsidRDefault="008359D1">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EIA. (2009). “Light-Duty Diesel Vehicles: Market Issues and Potential Energy and Emissions Impacts.” Energy Information Administration, United States Department of Energy. January 2009. &lt;http://www.eia.gov/oiaf/servicerpt/lightduty/pdf/sroiaf(2009)02.pdf&gt;.</w:t>
      </w:r>
    </w:p>
  </w:footnote>
  <w:footnote w:id="60">
    <w:p w:rsidR="008359D1" w:rsidRPr="00027429" w:rsidRDefault="008359D1" w:rsidP="005670E5">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IEA. (2013). “End Use Petroleum Product Prices and Average Crude Oil Import Costs January 2013.” International Energy Agency. January 2013. &lt;http://www.iea.org/stats/surveys/mps.pdf&gt;.</w:t>
      </w:r>
    </w:p>
  </w:footnote>
  <w:footnote w:id="61">
    <w:p w:rsidR="008359D1" w:rsidRPr="00027429" w:rsidRDefault="008359D1" w:rsidP="00124A2B">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Transport &amp; Environment. (2011). “Fueling Oil Demand: What Happened to Fuel Taxation in Europe?” European Federation for Transport and Environment. April 2011. &lt;http://www.transportenvironment.org/sites/te/files/media/2011%2004%2013%20fuel%20tax%20report%20final%20merged.pdf&gt;.</w:t>
      </w:r>
    </w:p>
  </w:footnote>
  <w:footnote w:id="62">
    <w:p w:rsidR="008359D1" w:rsidRPr="00027429" w:rsidRDefault="008359D1" w:rsidP="00685D3F">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Verboven, Frank. (2002). “Quality-Based Price Discrimination and Tax Incidence.” </w:t>
      </w:r>
    </w:p>
  </w:footnote>
  <w:footnote w:id="63">
    <w:p w:rsidR="008359D1" w:rsidRPr="00027429" w:rsidRDefault="008359D1" w:rsidP="00E97A58">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Verboven, Frank. (2002). “Quality-Based Price Discrimination and Tax Incidence.” </w:t>
      </w:r>
    </w:p>
    <w:p w:rsidR="008359D1" w:rsidRPr="00027429" w:rsidRDefault="008359D1" w:rsidP="00670491">
      <w:pPr>
        <w:pStyle w:val="FootnoteText"/>
        <w:rPr>
          <w:rFonts w:cs="Arial"/>
          <w:sz w:val="16"/>
          <w:szCs w:val="16"/>
        </w:rPr>
      </w:pPr>
      <w:r w:rsidRPr="00027429">
        <w:rPr>
          <w:rFonts w:cs="Arial"/>
          <w:sz w:val="16"/>
          <w:szCs w:val="16"/>
        </w:rPr>
        <w:t>EIA. (2009). “Light-Duty Diesel Vehicles.”</w:t>
      </w:r>
    </w:p>
  </w:footnote>
  <w:footnote w:id="64">
    <w:p w:rsidR="008359D1" w:rsidRPr="00027429" w:rsidRDefault="008359D1" w:rsidP="003A1919">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Transport &amp; Environment. (2011). “Fueling Oil Demand.”</w:t>
      </w:r>
    </w:p>
  </w:footnote>
  <w:footnote w:id="65">
    <w:p w:rsidR="008359D1" w:rsidRPr="00027429" w:rsidRDefault="008359D1" w:rsidP="008206A3">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IEA. (2013). “End Use Petroleum Product Prices.”</w:t>
      </w:r>
    </w:p>
  </w:footnote>
  <w:footnote w:id="66">
    <w:p w:rsidR="008359D1" w:rsidRPr="00027429" w:rsidRDefault="008359D1" w:rsidP="00B42A84">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Verboven, Frank. (2002). “Quality-Based Price Discrimination and Tax Incidence.”</w:t>
      </w:r>
    </w:p>
  </w:footnote>
  <w:footnote w:id="67">
    <w:p w:rsidR="008359D1" w:rsidRPr="00027429" w:rsidRDefault="008359D1" w:rsidP="00B42A84">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EIA. (2009). “Light-Duty Diesel Vehicles.”</w:t>
      </w:r>
    </w:p>
  </w:footnote>
  <w:footnote w:id="68">
    <w:p w:rsidR="008359D1" w:rsidRPr="00027429" w:rsidRDefault="008359D1">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Seager, Ashley. “Germany sets shining example in providing a harvest for the world.” The Guardian. July 23, 2007. &lt;http://www.guardian.co.uk/business/2007/jul/23/germany.greenbusiness&gt;.</w:t>
      </w:r>
    </w:p>
  </w:footnote>
  <w:footnote w:id="69">
    <w:p w:rsidR="008359D1" w:rsidRPr="00027429" w:rsidRDefault="008359D1" w:rsidP="000C1C5A">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Lipp, Judith. (2007). “Lessons for Effective Renewable Electricity Policy from Denmark, Germany, and the United Kingdom.” Energy Policy. Volume 35, Issue 11, pp. 5481-5495. November 2007.</w:t>
      </w:r>
    </w:p>
  </w:footnote>
  <w:footnote w:id="70">
    <w:p w:rsidR="008359D1" w:rsidRPr="00027429" w:rsidRDefault="008359D1">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Lipp, Judith. (2007). “Lessons for Effective Renewable Electricity Policy.”</w:t>
      </w:r>
    </w:p>
  </w:footnote>
  <w:footnote w:id="71">
    <w:p w:rsidR="008359D1" w:rsidRPr="00027429" w:rsidRDefault="008359D1">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Frondel, Manuel, Nolan Ritter, Christoph M. Schmidt, and Colin Vance. (2010). “Economic Impacts from the Promotion of Renewable Energy Technologies: The German Experience.” Energy Policy. Volume 38, Issue 8, pp. 4048-4056. August 2010.</w:t>
      </w:r>
    </w:p>
  </w:footnote>
  <w:footnote w:id="72">
    <w:p w:rsidR="008359D1" w:rsidRPr="00027429" w:rsidRDefault="008359D1">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Lipp, Judith. (2007). “Lessons for Effective Renewable Electricity Policy.”</w:t>
      </w:r>
    </w:p>
  </w:footnote>
  <w:footnote w:id="73">
    <w:p w:rsidR="008359D1" w:rsidRPr="00027429" w:rsidRDefault="008359D1" w:rsidP="005D7041">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Lipp, Judith. (2007). “Lessons for Effective Renewable Electricity Policy.”</w:t>
      </w:r>
    </w:p>
  </w:footnote>
  <w:footnote w:id="74">
    <w:p w:rsidR="008359D1" w:rsidRPr="00027429" w:rsidRDefault="008359D1">
      <w:pPr>
        <w:pStyle w:val="FootnoteText"/>
      </w:pPr>
      <w:r w:rsidRPr="00027429">
        <w:rPr>
          <w:rStyle w:val="FootnoteReference"/>
        </w:rPr>
        <w:footnoteRef/>
      </w:r>
      <w:r w:rsidRPr="00027429">
        <w:t xml:space="preserve"> </w:t>
      </w:r>
      <w:r w:rsidRPr="00027429">
        <w:rPr>
          <w:sz w:val="16"/>
        </w:rPr>
        <w:t>1 GWh = 1,000,000 kWh</w:t>
      </w:r>
    </w:p>
  </w:footnote>
  <w:footnote w:id="75">
    <w:p w:rsidR="008359D1" w:rsidRPr="00027429" w:rsidRDefault="008359D1">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Böhme, Dieter (2012). "Entwicklung der erneuerbaren Energien in Deutschland im Jahr 2011." Federal Ministry for Environment, Nature Conservation and Nuclear Safety. February 2012. &lt;http://www.erneuerbare-energien.de/fileadmin/ee-import/files/pdfs/allgemein/application/pdf/ee_in_deutschland_graf_tab.pdf&gt;.</w:t>
      </w:r>
    </w:p>
  </w:footnote>
  <w:footnote w:id="76">
    <w:p w:rsidR="008359D1" w:rsidRPr="00027429" w:rsidRDefault="008359D1" w:rsidP="007C12AE">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Burger, Scott. (2012). “Big Changes in German Solar Subsidy Policy Approved Today.” Greentech Media. June 29, 2012. &lt;http://www.greentechmedia.com/articles/read/Big-Changes-in-German-Solar-Subsidy-Policy-Approved-Today&gt;.</w:t>
      </w:r>
    </w:p>
  </w:footnote>
  <w:footnote w:id="77">
    <w:p w:rsidR="008359D1" w:rsidRPr="00027429" w:rsidRDefault="008359D1" w:rsidP="007C12AE">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Frondel, Manuel, Nolan Ritter, Christoph M. Schmidt, and Colin Vance. (2010). “Economic Impacts.” </w:t>
      </w:r>
    </w:p>
    <w:p w:rsidR="008359D1" w:rsidRPr="00027429" w:rsidRDefault="008359D1" w:rsidP="007C12AE">
      <w:pPr>
        <w:pStyle w:val="FootnoteText"/>
        <w:rPr>
          <w:rFonts w:cs="Arial"/>
          <w:sz w:val="16"/>
          <w:szCs w:val="16"/>
        </w:rPr>
      </w:pPr>
      <w:r w:rsidRPr="00027429">
        <w:rPr>
          <w:rFonts w:cs="Arial"/>
          <w:sz w:val="16"/>
          <w:szCs w:val="16"/>
        </w:rPr>
        <w:t>Lipp, Judith. (2007). “Lessons for Effective Renewable Electricity Policy.”</w:t>
      </w:r>
    </w:p>
  </w:footnote>
  <w:footnote w:id="78">
    <w:p w:rsidR="008359D1" w:rsidRPr="00027429" w:rsidRDefault="008359D1" w:rsidP="00AC6B7A">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Lipp, Judith. (2007). “Lessons for Effective Renewable Electricity Policy.”</w:t>
      </w:r>
    </w:p>
  </w:footnote>
  <w:footnote w:id="79">
    <w:p w:rsidR="008359D1" w:rsidRPr="00027429" w:rsidRDefault="008359D1">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Burger, Scott. (2012). “Big Changes in German Solar Subsidy Policy Approved Today.”</w:t>
      </w:r>
    </w:p>
  </w:footnote>
  <w:footnote w:id="80">
    <w:p w:rsidR="008359D1" w:rsidRPr="00027429" w:rsidRDefault="008359D1">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Nicola, Stephan and Tino Anderson. (2012). “Merkel’s Green Shift Forces Germany to Burn More Coal.” Bloomberg. August 20, 2012. &lt;http://www.bloomberg.com/news/2012-08-19/merkel-s-green-shift-forces-germany-to-burn-more-coal-energy.html&gt;.</w:t>
      </w:r>
    </w:p>
  </w:footnote>
  <w:footnote w:id="81">
    <w:p w:rsidR="008359D1" w:rsidRPr="00027429" w:rsidRDefault="008359D1">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Cardwell, Diane. (2013). “Renewable Energy Industries Push for New Financing Options.” The New York Times. January 30, 2013. &lt;http://dealbook.nytimes.com/2013/01/30/renewable-energy-industries-push-for-new-financing-options/&gt;.</w:t>
      </w:r>
    </w:p>
  </w:footnote>
  <w:footnote w:id="82">
    <w:p w:rsidR="008359D1" w:rsidRPr="00027429" w:rsidRDefault="008359D1" w:rsidP="00B70B77">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ANFAVEA. (2013). "Carta da ANFAVEA."</w:t>
      </w:r>
    </w:p>
  </w:footnote>
  <w:footnote w:id="83">
    <w:p w:rsidR="008359D1" w:rsidRPr="00027429" w:rsidRDefault="008359D1" w:rsidP="00B70B77">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ANFAVEA. (2013). "Carta da ANFAVEA."</w:t>
      </w:r>
    </w:p>
  </w:footnote>
  <w:footnote w:id="84">
    <w:p w:rsidR="008359D1" w:rsidRPr="00027429" w:rsidRDefault="008359D1" w:rsidP="00B70B77">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NGVA. (2012). “Worldwide NGV Statistics.” Natural &amp; Bio Gas Vehicle Association - Europe. December 20, 2012. &lt;http://www.ngvaeurope.eu/worldwide-ngv-statistics&gt;.</w:t>
      </w:r>
    </w:p>
  </w:footnote>
  <w:footnote w:id="85">
    <w:p w:rsidR="008359D1" w:rsidRPr="00027429" w:rsidRDefault="008359D1" w:rsidP="00B70B77">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Frayssinet, Fabiana. (2009). “TRANSPORT-BRAZIL: Recharge Your Batteries Here.” Inter Press Service News Agency. July 6, 2009. &lt;http://www.ipsnews.net/2009/07/transport-brazil-recharge-your-batteries-here/&gt;.</w:t>
      </w:r>
    </w:p>
  </w:footnote>
  <w:footnote w:id="86">
    <w:p w:rsidR="008359D1" w:rsidRPr="00027429" w:rsidRDefault="008359D1" w:rsidP="00B70B77">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Nielsen, Stephan. (2013). “Brazil May Require Electric-Vehicle Charging Stations Next Year.” Bloomberg News. February 25, 2013. &lt;http://www.bloomberg.com/news/2013-02-25/brazil-may-require-electric-vehicle-charging-stations-next-year.html&gt;.</w:t>
      </w:r>
    </w:p>
  </w:footnote>
  <w:footnote w:id="87">
    <w:p w:rsidR="008359D1" w:rsidRPr="000A73EE" w:rsidRDefault="008359D1" w:rsidP="00D95E4D">
      <w:pPr>
        <w:pStyle w:val="FootnoteText"/>
        <w:rPr>
          <w:rFonts w:cs="Arial"/>
          <w:sz w:val="16"/>
          <w:szCs w:val="16"/>
        </w:rPr>
      </w:pPr>
      <w:r w:rsidRPr="000A73EE">
        <w:rPr>
          <w:rStyle w:val="FootnoteReference"/>
          <w:rFonts w:cs="Arial"/>
          <w:sz w:val="16"/>
          <w:szCs w:val="16"/>
        </w:rPr>
        <w:footnoteRef/>
      </w:r>
      <w:r w:rsidRPr="000A73EE">
        <w:rPr>
          <w:rFonts w:cs="Arial"/>
          <w:sz w:val="16"/>
          <w:szCs w:val="16"/>
        </w:rPr>
        <w:t xml:space="preserve"> NGVA. (2012). “Worldwide NGV Statistics.”</w:t>
      </w:r>
    </w:p>
    <w:p w:rsidR="008359D1" w:rsidRPr="000A73EE" w:rsidRDefault="008359D1" w:rsidP="00D95E4D">
      <w:pPr>
        <w:pStyle w:val="FootnoteText"/>
        <w:rPr>
          <w:rFonts w:cs="Arial"/>
          <w:sz w:val="16"/>
          <w:szCs w:val="16"/>
        </w:rPr>
      </w:pPr>
      <w:r w:rsidRPr="000A73EE">
        <w:rPr>
          <w:rFonts w:cs="Arial"/>
          <w:sz w:val="16"/>
          <w:szCs w:val="16"/>
        </w:rPr>
        <w:t>Huo, Hong, Qiang Zhang, Fei Liu, and Kebin He. (2012). “Climate and Environmental Effects of Electric Vehicles verses Compressed Natural Gas Vehicles in China: A Life-Cycle Analysis at Provincial Level.” Environmental Science &amp; Technology. Volume 47, Issue 3, pp. 1711-1718. February 2013.</w:t>
      </w:r>
    </w:p>
  </w:footnote>
  <w:footnote w:id="88">
    <w:p w:rsidR="008359D1" w:rsidRPr="000A73EE" w:rsidRDefault="008359D1" w:rsidP="00CB086D">
      <w:pPr>
        <w:pStyle w:val="FootnoteText"/>
        <w:rPr>
          <w:rFonts w:cs="Arial"/>
          <w:sz w:val="16"/>
          <w:szCs w:val="16"/>
        </w:rPr>
      </w:pPr>
      <w:r w:rsidRPr="000A73EE">
        <w:rPr>
          <w:rStyle w:val="FootnoteReference"/>
          <w:rFonts w:cs="Arial"/>
          <w:sz w:val="16"/>
          <w:szCs w:val="16"/>
        </w:rPr>
        <w:footnoteRef/>
      </w:r>
      <w:r w:rsidRPr="000A73EE">
        <w:rPr>
          <w:rFonts w:cs="Arial"/>
          <w:sz w:val="16"/>
          <w:szCs w:val="16"/>
        </w:rPr>
        <w:t xml:space="preserve"> Green Car Congress. (2012). “China publishes plan to boost fuel-efficient and new energy vehicles and domestic auto-industry; targeting 500k PHEVs and EVs in 2015, rising to 2M by 2020.” July 9, 2012. &lt;http://www.greencarcongress.com/2012/07/china-20120709.html&gt;.</w:t>
      </w:r>
    </w:p>
  </w:footnote>
  <w:footnote w:id="89">
    <w:p w:rsidR="008359D1" w:rsidRPr="000A73EE" w:rsidRDefault="008359D1" w:rsidP="00CB086D">
      <w:pPr>
        <w:pStyle w:val="FootnoteText"/>
        <w:rPr>
          <w:rFonts w:cs="Arial"/>
          <w:sz w:val="16"/>
          <w:szCs w:val="16"/>
        </w:rPr>
      </w:pPr>
      <w:r w:rsidRPr="000A73EE">
        <w:rPr>
          <w:rStyle w:val="FootnoteReference"/>
          <w:rFonts w:cs="Arial"/>
          <w:sz w:val="16"/>
          <w:szCs w:val="16"/>
        </w:rPr>
        <w:footnoteRef/>
      </w:r>
      <w:r w:rsidRPr="000A73EE">
        <w:rPr>
          <w:rFonts w:cs="Arial"/>
          <w:sz w:val="16"/>
          <w:szCs w:val="16"/>
        </w:rPr>
        <w:t xml:space="preserve"> Meng, Yan. (2011) “China has largest electric vehicle charging network.” People’s Daily Online. March 3, 2011. &lt;http://english.peopledaily.com.cn/90001/90778/7307489.html&gt;.</w:t>
      </w:r>
    </w:p>
  </w:footnote>
  <w:footnote w:id="90">
    <w:p w:rsidR="008359D1" w:rsidRPr="000A73EE" w:rsidRDefault="008359D1">
      <w:pPr>
        <w:pStyle w:val="FootnoteText"/>
        <w:rPr>
          <w:rFonts w:cs="Arial"/>
          <w:sz w:val="16"/>
          <w:szCs w:val="16"/>
        </w:rPr>
      </w:pPr>
      <w:r w:rsidRPr="000A73EE">
        <w:rPr>
          <w:rStyle w:val="FootnoteReference"/>
          <w:rFonts w:cs="Arial"/>
          <w:sz w:val="16"/>
          <w:szCs w:val="16"/>
        </w:rPr>
        <w:footnoteRef/>
      </w:r>
      <w:r w:rsidRPr="000A73EE">
        <w:rPr>
          <w:rFonts w:cs="Arial"/>
          <w:sz w:val="16"/>
          <w:szCs w:val="16"/>
        </w:rPr>
        <w:t xml:space="preserve"> China Daily. (2012). “Limits revised to promote green autos.” </w:t>
      </w:r>
      <w:r w:rsidRPr="000A73EE">
        <w:rPr>
          <w:rFonts w:cs="Arial"/>
          <w:color w:val="000000"/>
          <w:sz w:val="16"/>
          <w:szCs w:val="16"/>
        </w:rPr>
        <w:t>China.org.cn. August 6, 2012.</w:t>
      </w:r>
      <w:r w:rsidRPr="000A73EE">
        <w:rPr>
          <w:rFonts w:cs="Arial"/>
          <w:sz w:val="16"/>
          <w:szCs w:val="16"/>
        </w:rPr>
        <w:t xml:space="preserve"> &lt;http://www.china.org.cn/environment/2012-08/06/content_26140796.htm&gt;.</w:t>
      </w:r>
    </w:p>
  </w:footnote>
  <w:footnote w:id="91">
    <w:p w:rsidR="008359D1" w:rsidRPr="00027429" w:rsidRDefault="008359D1">
      <w:pPr>
        <w:pStyle w:val="FootnoteText"/>
        <w:rPr>
          <w:rFonts w:cs="Arial"/>
          <w:sz w:val="16"/>
          <w:szCs w:val="16"/>
        </w:rPr>
      </w:pPr>
      <w:r w:rsidRPr="000A73EE">
        <w:rPr>
          <w:rStyle w:val="FootnoteReference"/>
          <w:rFonts w:cs="Arial"/>
          <w:sz w:val="16"/>
          <w:szCs w:val="16"/>
        </w:rPr>
        <w:footnoteRef/>
      </w:r>
      <w:r w:rsidRPr="000A73EE">
        <w:rPr>
          <w:rFonts w:cs="Arial"/>
          <w:sz w:val="16"/>
          <w:szCs w:val="16"/>
        </w:rPr>
        <w:t xml:space="preserve"> Xinhua. (2013). “Beijing unveils preferential policies for electric vehicles.” Xinhua. March 7, 2013. &lt;http://news.xinhuanet.com/english</w:t>
      </w:r>
      <w:r w:rsidRPr="00027429">
        <w:rPr>
          <w:rFonts w:cs="Arial"/>
          <w:sz w:val="16"/>
          <w:szCs w:val="16"/>
        </w:rPr>
        <w:t>/china/2013-03/07/c_132216404.htm&gt;.</w:t>
      </w:r>
    </w:p>
  </w:footnote>
  <w:footnote w:id="92">
    <w:p w:rsidR="008359D1" w:rsidRPr="00027429" w:rsidRDefault="008359D1" w:rsidP="00B70B77">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Exergia. (2012) "Assessment of the implementation of a European alternative fuels strategy and possible supportive proposals." Produced by Exergia, Energy and Environment Consultants for the European Commission. August 10, 2012. &lt;http://ec.europa.eu/transport/themes/urban/studies/doc/2012-08-cts-implementation-study.pdf&gt;.</w:t>
      </w:r>
    </w:p>
    <w:p w:rsidR="008359D1" w:rsidRPr="00027429" w:rsidRDefault="008359D1" w:rsidP="00B70B77">
      <w:pPr>
        <w:pStyle w:val="FootnoteText"/>
        <w:rPr>
          <w:rFonts w:cs="Arial"/>
          <w:sz w:val="16"/>
          <w:szCs w:val="16"/>
        </w:rPr>
      </w:pPr>
      <w:r w:rsidRPr="00027429">
        <w:rPr>
          <w:rFonts w:cs="Arial"/>
          <w:sz w:val="16"/>
          <w:szCs w:val="16"/>
        </w:rPr>
        <w:t>“NGVA. (2012). “Worldwide NGV Statistics.</w:t>
      </w:r>
    </w:p>
    <w:p w:rsidR="008359D1" w:rsidRPr="00027429" w:rsidRDefault="008359D1" w:rsidP="00B70B77">
      <w:pPr>
        <w:pStyle w:val="FootnoteText"/>
        <w:rPr>
          <w:rFonts w:cs="Arial"/>
          <w:sz w:val="16"/>
          <w:szCs w:val="16"/>
        </w:rPr>
      </w:pPr>
      <w:r w:rsidRPr="00027429">
        <w:rPr>
          <w:rFonts w:eastAsia="Times New Roman" w:cs="Arial"/>
          <w:color w:val="000000"/>
          <w:sz w:val="16"/>
          <w:szCs w:val="16"/>
        </w:rPr>
        <w:t>European Commission. (2013). "MEMO/13/24 Clean power for transport – Frequently asked questions." European Commission. January 24, 2013. &lt;http://europa.eu/rapid/press-release_MEMO-13-24_en.htm&gt;.</w:t>
      </w:r>
    </w:p>
  </w:footnote>
  <w:footnote w:id="93">
    <w:p w:rsidR="008359D1" w:rsidRPr="00027429" w:rsidRDefault="008359D1" w:rsidP="00B70B77">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European Commission. (2013). “IP/13/40 EU launches clean fuel strategy.” European Commission. January 24, 2013. &lt;http://europa.eu/rapid/press-release_IP-13-40_en.htm#PR_metaPressRelease_bottom&gt;.</w:t>
      </w:r>
    </w:p>
  </w:footnote>
  <w:footnote w:id="94">
    <w:p w:rsidR="008359D1" w:rsidRPr="00027429" w:rsidRDefault="008359D1" w:rsidP="00B70B77">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w:t>
      </w:r>
      <w:r w:rsidRPr="00027429">
        <w:rPr>
          <w:rFonts w:eastAsia="Times New Roman" w:cs="Arial"/>
          <w:color w:val="000000"/>
          <w:sz w:val="16"/>
          <w:szCs w:val="16"/>
        </w:rPr>
        <w:t>European Commission. (2013). "MEMO/13/24 Clean power for transport."</w:t>
      </w:r>
    </w:p>
  </w:footnote>
  <w:footnote w:id="95">
    <w:p w:rsidR="008359D1" w:rsidRPr="00027429" w:rsidRDefault="008359D1" w:rsidP="00B70B77">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Exergia. (2012). "Assessment of the implementation of a European alternative fuels strategy."</w:t>
      </w:r>
    </w:p>
  </w:footnote>
  <w:footnote w:id="96">
    <w:p w:rsidR="008359D1" w:rsidRPr="00027429" w:rsidRDefault="008359D1" w:rsidP="00B70B77">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NGVA. (2012). “Worldwide NGV Statistics.”</w:t>
      </w:r>
    </w:p>
  </w:footnote>
  <w:footnote w:id="97">
    <w:p w:rsidR="008359D1" w:rsidRPr="00027429" w:rsidRDefault="008359D1" w:rsidP="00B70B77">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Europia. (2011). “2011 Annual Report.” European Petroleum Industry Association. 2011. &lt;https://www.europia.eu/content/default.asp?PageID=412&amp;DocID=35264&gt;.</w:t>
      </w:r>
    </w:p>
  </w:footnote>
  <w:footnote w:id="98">
    <w:p w:rsidR="008359D1" w:rsidRPr="00027429" w:rsidRDefault="008359D1" w:rsidP="00B70B77">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Europia. (2011). “2011 Annual Report.”</w:t>
      </w:r>
    </w:p>
  </w:footnote>
  <w:footnote w:id="99">
    <w:p w:rsidR="008359D1" w:rsidRPr="00027429" w:rsidRDefault="008359D1" w:rsidP="00037EF7">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EERE. (2013). Alternative Fuels Data Center.</w:t>
      </w:r>
    </w:p>
  </w:footnote>
  <w:footnote w:id="100">
    <w:p w:rsidR="008359D1" w:rsidRPr="00027429" w:rsidRDefault="008359D1">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NPC. (2012). “Chapter 5: Infrastructure.”</w:t>
      </w:r>
    </w:p>
  </w:footnote>
  <w:footnote w:id="101">
    <w:p w:rsidR="008359D1" w:rsidRPr="00027429" w:rsidRDefault="008359D1" w:rsidP="00F402C7">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EERE. (2013). Alternative Fuels Data Center.</w:t>
      </w:r>
    </w:p>
  </w:footnote>
  <w:footnote w:id="102">
    <w:p w:rsidR="008359D1" w:rsidRPr="00027429" w:rsidRDefault="008359D1" w:rsidP="006A3DDB">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EERE. (2013). Alternative Fuels Data Center.</w:t>
      </w:r>
    </w:p>
  </w:footnote>
  <w:footnote w:id="103">
    <w:p w:rsidR="008359D1" w:rsidRPr="00027429" w:rsidRDefault="008359D1" w:rsidP="006A3DDB">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EERE. (2013). Alternative Fuels Data Center.</w:t>
      </w:r>
    </w:p>
  </w:footnote>
  <w:footnote w:id="104">
    <w:p w:rsidR="008359D1" w:rsidRPr="00027429" w:rsidRDefault="008359D1">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Wald, Matthew L. (2013). “Using Federal Oil Revenues to Cut America’s Oil Use” The New York Times. February 13, 2013. &lt;http://green.blogs.nytimes.com/2013/02/13/using-federal-oil-revenues-to-cut-americas-oil-use/&gt;.</w:t>
      </w:r>
    </w:p>
  </w:footnote>
  <w:footnote w:id="105">
    <w:p w:rsidR="008359D1" w:rsidRPr="00027429" w:rsidRDefault="008359D1">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EPA. (2013). “Renewable Fuel Standard (RFS).” United States Environmental Protection Agency Website. Accessed March 4, 2013. &lt;http://www.epa.gov/otaq/fuels/renewablefuels/index.htm&gt;.</w:t>
      </w:r>
    </w:p>
  </w:footnote>
  <w:footnote w:id="106">
    <w:p w:rsidR="008359D1" w:rsidRPr="00027429" w:rsidRDefault="008359D1" w:rsidP="00BE492B">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NPC. (2012). “Chapter 5: Infrastructure.”</w:t>
      </w:r>
    </w:p>
  </w:footnote>
  <w:footnote w:id="107">
    <w:p w:rsidR="008359D1" w:rsidRPr="00027429" w:rsidRDefault="008359D1">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EIA. (2012). “U.S. Fuel Ethanol Plant Production Capacity Report.” United States Energy Information Administration. May 30, 2012. &lt;http://www.eia.gov/petroleum/ethanolcapacity/index.cfm&gt;.</w:t>
      </w:r>
    </w:p>
  </w:footnote>
  <w:footnote w:id="108">
    <w:p w:rsidR="008359D1" w:rsidRPr="00027429" w:rsidRDefault="008359D1">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EIA. (2012). “Table 10.3 Fuel Ethanol Overview, 1981-2011.” Annual Energy Review. United States Energy Information Administration. September 27, 2012. &lt;http://www.eia.gov/totalenergy/data/annual/showtext.cfm?t=ptb1003&gt;.</w:t>
      </w:r>
    </w:p>
  </w:footnote>
  <w:footnote w:id="109">
    <w:p w:rsidR="008359D1" w:rsidRPr="00027429" w:rsidRDefault="008359D1">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EIA. (2013). “Table 1. U.S. Biodiesel Production Capacity and Production.” Monthly Biodiesel Production Report. United States Energy Information Administration. February 27, 2013. &lt;http://www.eia.gov/biofuels/biodiesel/production/table1.pdf&gt;.</w:t>
      </w:r>
    </w:p>
  </w:footnote>
  <w:footnote w:id="110">
    <w:p w:rsidR="008359D1" w:rsidRPr="00027429" w:rsidRDefault="008359D1">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Cellulosic ethanol targets were reduced from 100 million to approximately 5 million gallons in 2010, from 250 million to 6.6 million gallons in 2011, from 500 million to 8.7 million gallons in 2012, and from1 billion gallons to 14 million gallons in 2013. </w:t>
      </w:r>
    </w:p>
    <w:p w:rsidR="008359D1" w:rsidRPr="00027429" w:rsidRDefault="008359D1">
      <w:pPr>
        <w:pStyle w:val="FootnoteText"/>
        <w:rPr>
          <w:rFonts w:cs="Arial"/>
          <w:sz w:val="16"/>
          <w:szCs w:val="16"/>
        </w:rPr>
      </w:pPr>
      <w:r w:rsidRPr="00027429">
        <w:rPr>
          <w:rFonts w:cs="Arial"/>
          <w:sz w:val="16"/>
          <w:szCs w:val="16"/>
        </w:rPr>
        <w:t>CRS. (2010). “Renewable Fuel Standard (RFS): Overview and Issues” Congressional Research Service. July 14, 2010. &lt;http://crs.ncseonline.org/nle/crsreports/10Jul/R40155.pdf&gt;.</w:t>
      </w:r>
    </w:p>
  </w:footnote>
  <w:footnote w:id="111">
    <w:p w:rsidR="008359D1" w:rsidRPr="000A73EE" w:rsidRDefault="008359D1">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EIA. (2013). “Cellulosic biofuels begin to flow but in lower volumes than foreseen by statutory targets.” United States Energy Information </w:t>
      </w:r>
      <w:r w:rsidRPr="000A73EE">
        <w:rPr>
          <w:rFonts w:cs="Arial"/>
          <w:sz w:val="16"/>
          <w:szCs w:val="16"/>
        </w:rPr>
        <w:t>Administration. February 26, 2013. &lt;http://www.eia.gov/todayinenergy/detail.cfm?id=10131&gt;.</w:t>
      </w:r>
    </w:p>
  </w:footnote>
  <w:footnote w:id="112">
    <w:p w:rsidR="008359D1" w:rsidRPr="000A73EE" w:rsidRDefault="008359D1" w:rsidP="000A73EE">
      <w:pPr>
        <w:pStyle w:val="FootnoteText"/>
        <w:rPr>
          <w:sz w:val="16"/>
          <w:szCs w:val="16"/>
        </w:rPr>
      </w:pPr>
      <w:r w:rsidRPr="000A73EE">
        <w:rPr>
          <w:rStyle w:val="FootnoteReference"/>
          <w:sz w:val="16"/>
          <w:szCs w:val="16"/>
        </w:rPr>
        <w:footnoteRef/>
      </w:r>
      <w:r w:rsidRPr="000A73EE">
        <w:rPr>
          <w:sz w:val="16"/>
          <w:szCs w:val="16"/>
        </w:rPr>
        <w:t xml:space="preserve"> Shepardson, David. (2013). “Automakers ask Supreme Court to take up ethanol challenge.” Detroit News. March 26, 2013. &lt;http://www.detroitnews.com/article/20130326/AUTO01/303260382&gt;.</w:t>
      </w:r>
    </w:p>
  </w:footnote>
  <w:footnote w:id="113">
    <w:p w:rsidR="008359D1" w:rsidRPr="000A73EE" w:rsidRDefault="008359D1" w:rsidP="000A73EE">
      <w:pPr>
        <w:pStyle w:val="FootnoteText"/>
        <w:rPr>
          <w:sz w:val="16"/>
          <w:szCs w:val="16"/>
        </w:rPr>
      </w:pPr>
      <w:r w:rsidRPr="000A73EE">
        <w:rPr>
          <w:rStyle w:val="FootnoteReference"/>
          <w:sz w:val="16"/>
          <w:szCs w:val="16"/>
        </w:rPr>
        <w:footnoteRef/>
      </w:r>
      <w:r w:rsidRPr="000A73EE">
        <w:rPr>
          <w:sz w:val="16"/>
          <w:szCs w:val="16"/>
        </w:rPr>
        <w:t xml:space="preserve"> Together, the two trade associations represent 24 different automakers including the Detroit 3 (Chrysler, Ford, and General Motors) as well as major Japanese (Honda, Nissan, and Toyota) and German automakers (BMW, Mercedes-Benz, and Volkswagen).</w:t>
      </w:r>
    </w:p>
  </w:footnote>
  <w:footnote w:id="114">
    <w:p w:rsidR="008359D1" w:rsidRPr="000A73EE" w:rsidRDefault="008359D1" w:rsidP="000A73EE">
      <w:pPr>
        <w:pStyle w:val="FootnoteText"/>
        <w:rPr>
          <w:sz w:val="16"/>
          <w:szCs w:val="16"/>
        </w:rPr>
      </w:pPr>
      <w:r w:rsidRPr="000A73EE">
        <w:rPr>
          <w:rStyle w:val="FootnoteReference"/>
          <w:sz w:val="16"/>
          <w:szCs w:val="16"/>
        </w:rPr>
        <w:footnoteRef/>
      </w:r>
      <w:r w:rsidRPr="000A73EE">
        <w:rPr>
          <w:sz w:val="16"/>
          <w:szCs w:val="16"/>
        </w:rPr>
        <w:t xml:space="preserve"> Shepardson, David. (2013). “Automakers ask Supreme Court to take up ethanol challenge.”</w:t>
      </w:r>
    </w:p>
  </w:footnote>
  <w:footnote w:id="115">
    <w:p w:rsidR="008359D1" w:rsidRPr="000A73EE" w:rsidRDefault="008359D1" w:rsidP="000A73EE">
      <w:pPr>
        <w:pStyle w:val="FootnoteText"/>
        <w:rPr>
          <w:sz w:val="16"/>
          <w:szCs w:val="16"/>
        </w:rPr>
      </w:pPr>
      <w:r w:rsidRPr="000A73EE">
        <w:rPr>
          <w:rStyle w:val="FootnoteReference"/>
          <w:sz w:val="16"/>
          <w:szCs w:val="16"/>
        </w:rPr>
        <w:footnoteRef/>
      </w:r>
      <w:r w:rsidRPr="000A73EE">
        <w:rPr>
          <w:sz w:val="16"/>
          <w:szCs w:val="16"/>
        </w:rPr>
        <w:t xml:space="preserve"> Voegele, Erin. (2012). “EPA, DOT finalize fuel efficiency rule, address biofuel comments.” Ethanol Producer Magazine. August 29, 2012. &lt;http://ethanolproducer.com/articles/9070/epa-dot-finalize-fuel-efficiency-rule-address-biofuel-comments&gt;.</w:t>
      </w:r>
    </w:p>
  </w:footnote>
  <w:footnote w:id="116">
    <w:p w:rsidR="008359D1" w:rsidRPr="00027429" w:rsidRDefault="008359D1" w:rsidP="00077259">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EIA. (2012). “Annual Energy Outlook </w:t>
      </w:r>
      <w:r>
        <w:rPr>
          <w:rFonts w:cs="Arial"/>
          <w:sz w:val="16"/>
          <w:szCs w:val="16"/>
        </w:rPr>
        <w:t>2012.”</w:t>
      </w:r>
    </w:p>
  </w:footnote>
  <w:footnote w:id="117">
    <w:p w:rsidR="008359D1" w:rsidRPr="000A73EE" w:rsidRDefault="008359D1" w:rsidP="000A73EE">
      <w:pPr>
        <w:pStyle w:val="FootnoteText"/>
        <w:rPr>
          <w:sz w:val="16"/>
          <w:szCs w:val="16"/>
        </w:rPr>
      </w:pPr>
      <w:r w:rsidRPr="000A73EE">
        <w:rPr>
          <w:rStyle w:val="FootnoteReference"/>
          <w:sz w:val="16"/>
          <w:szCs w:val="16"/>
        </w:rPr>
        <w:footnoteRef/>
      </w:r>
      <w:r w:rsidRPr="000A73EE">
        <w:rPr>
          <w:sz w:val="16"/>
          <w:szCs w:val="16"/>
        </w:rPr>
        <w:t xml:space="preserve"> Voegele, Erin. (2012). “EPA, DOT finalize fuel efficiency rule, address biofuel comments.”</w:t>
      </w:r>
    </w:p>
  </w:footnote>
  <w:footnote w:id="118">
    <w:p w:rsidR="008359D1" w:rsidRPr="000A73EE" w:rsidRDefault="008359D1" w:rsidP="000A73EE">
      <w:pPr>
        <w:pStyle w:val="FootnoteText"/>
        <w:rPr>
          <w:sz w:val="16"/>
          <w:szCs w:val="16"/>
        </w:rPr>
      </w:pPr>
      <w:r w:rsidRPr="000A73EE">
        <w:rPr>
          <w:rStyle w:val="FootnoteReference"/>
          <w:sz w:val="16"/>
          <w:szCs w:val="16"/>
        </w:rPr>
        <w:footnoteRef/>
      </w:r>
      <w:r w:rsidRPr="000A73EE">
        <w:rPr>
          <w:sz w:val="16"/>
          <w:szCs w:val="16"/>
        </w:rPr>
        <w:t xml:space="preserve"> Voegele, Erin. (2012). “EPA, DOT finalize fuel efficiency rule, address biofuel comments.”</w:t>
      </w:r>
    </w:p>
  </w:footnote>
  <w:footnote w:id="119">
    <w:p w:rsidR="008359D1" w:rsidRPr="00027429" w:rsidRDefault="008359D1">
      <w:pPr>
        <w:pStyle w:val="FootnoteText"/>
        <w:rPr>
          <w:rFonts w:cs="Arial"/>
          <w:sz w:val="16"/>
          <w:szCs w:val="16"/>
        </w:rPr>
      </w:pPr>
      <w:r w:rsidRPr="000A73EE">
        <w:rPr>
          <w:rStyle w:val="FootnoteReference"/>
          <w:rFonts w:cs="Arial"/>
          <w:sz w:val="16"/>
          <w:szCs w:val="16"/>
        </w:rPr>
        <w:footnoteRef/>
      </w:r>
      <w:r w:rsidRPr="000A73EE">
        <w:rPr>
          <w:rFonts w:cs="Arial"/>
          <w:sz w:val="16"/>
          <w:szCs w:val="16"/>
        </w:rPr>
        <w:t xml:space="preserve"> Schwartz, John. (2013). “Governments Look for New Ways to Pay for Roads and Bridges.” The New York Times. February 14, 2013</w:t>
      </w:r>
      <w:r w:rsidRPr="00027429">
        <w:rPr>
          <w:rFonts w:cs="Arial"/>
          <w:sz w:val="16"/>
          <w:szCs w:val="16"/>
        </w:rPr>
        <w:t>. &lt;http://www.nytimes.com/2013/02/15/us/looking-for-new-ways-to-pay-for-roads-and-bridges.html?_r=1&amp;&gt;.</w:t>
      </w:r>
    </w:p>
  </w:footnote>
  <w:footnote w:id="120">
    <w:p w:rsidR="008359D1" w:rsidRPr="00027429" w:rsidRDefault="008359D1">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Schwartz, John. (2013). “Governments Look for New Ways to Pay for Roads and Bridges.”</w:t>
      </w:r>
    </w:p>
  </w:footnote>
  <w:footnote w:id="121">
    <w:p w:rsidR="008359D1" w:rsidRPr="00027429" w:rsidRDefault="008359D1" w:rsidP="00BC68F1">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EERE. (2013). Alternative Fuels Data Center.</w:t>
      </w:r>
    </w:p>
  </w:footnote>
  <w:footnote w:id="122">
    <w:p w:rsidR="008359D1" w:rsidRPr="00027429" w:rsidRDefault="008359D1" w:rsidP="00F402C7">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EERE. (2013). Alternative Fuels Data Center.</w:t>
      </w:r>
    </w:p>
  </w:footnote>
  <w:footnote w:id="123">
    <w:p w:rsidR="008359D1" w:rsidRPr="00027429" w:rsidRDefault="008359D1" w:rsidP="00F402C7">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California Energy Commission. (2012) “Annual Reporting Results – California Retail Fuel Outlet Annual Report (A15).” California Energy Commission, State of California. 2012. &lt;http://energyalmanac.ca.gov/gasoline/piira_retail_survey.html&gt;.</w:t>
      </w:r>
    </w:p>
  </w:footnote>
  <w:footnote w:id="124">
    <w:p w:rsidR="008359D1" w:rsidRPr="00027429" w:rsidRDefault="008359D1" w:rsidP="00F402C7">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EERE. (2013). Alternative Fuels Data Center.</w:t>
      </w:r>
    </w:p>
  </w:footnote>
  <w:footnote w:id="125">
    <w:p w:rsidR="008359D1" w:rsidRPr="00027429" w:rsidRDefault="008359D1" w:rsidP="00D95835">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Transport Policy. (2012) “US: Section 177 States.” Transportpolicy.net. November 29, 2012. &lt;http://transportpolicy.net/index.php?title=US:_Section_177_States&gt;.</w:t>
      </w:r>
    </w:p>
    <w:p w:rsidR="008359D1" w:rsidRPr="00027429" w:rsidRDefault="008359D1" w:rsidP="00D95835">
      <w:pPr>
        <w:pStyle w:val="FootnoteText"/>
        <w:rPr>
          <w:rFonts w:cs="Arial"/>
          <w:sz w:val="16"/>
          <w:szCs w:val="16"/>
        </w:rPr>
      </w:pPr>
      <w:r w:rsidRPr="00027429">
        <w:rPr>
          <w:rFonts w:cs="Arial"/>
          <w:sz w:val="16"/>
          <w:szCs w:val="16"/>
        </w:rPr>
        <w:t xml:space="preserve"> ARB. (2013). "Key Events in the History of Air Quality in California.” California Air Resources Board, State of California. February 6, 2012. &lt;http://www.arb.ca.gov/html/brochure/history.htm&gt;. </w:t>
      </w:r>
    </w:p>
  </w:footnote>
  <w:footnote w:id="126">
    <w:p w:rsidR="008359D1" w:rsidRPr="00027429" w:rsidRDefault="008359D1" w:rsidP="00D95835">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ARB. (2012). “Historical Activities of the CA Hydrogen Highway Network.” California Air Resources Board, State of California. September 17, 2012. &lt;http://www.arb.ca.gov/msprog/zevprog/hydrogen/hydrogen_cah2net.htm&gt;. </w:t>
      </w:r>
    </w:p>
  </w:footnote>
  <w:footnote w:id="127">
    <w:p w:rsidR="008359D1" w:rsidRPr="00027429" w:rsidRDefault="008359D1" w:rsidP="00D95835">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ARB. (2012). “Government Funded Hydrogen Stations.” California Air Resources Board, State of California. November 27, 2012. &lt;http://www.arb.ca.gov/msprog/zevprog/hydrogen/hydrogen_stations.htm&gt;.</w:t>
      </w:r>
    </w:p>
  </w:footnote>
  <w:footnote w:id="128">
    <w:p w:rsidR="008359D1" w:rsidRPr="00027429" w:rsidRDefault="008359D1" w:rsidP="00D95835">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ARB. (2012). “Clean Fuels Outlet Regulation.” California Air Resources Board, State of California. April 27, 2012. &lt;http://www.arb.ca.gov/fuels/altfuels/cf-outlets/cf-outlets.htm&gt;.</w:t>
      </w:r>
    </w:p>
    <w:p w:rsidR="008359D1" w:rsidRPr="00027429" w:rsidRDefault="008359D1" w:rsidP="00D95835">
      <w:pPr>
        <w:pStyle w:val="FootnoteText"/>
        <w:rPr>
          <w:rFonts w:cs="Arial"/>
          <w:sz w:val="16"/>
          <w:szCs w:val="16"/>
        </w:rPr>
      </w:pPr>
      <w:r w:rsidRPr="00027429">
        <w:rPr>
          <w:rFonts w:cs="Arial"/>
          <w:sz w:val="16"/>
          <w:szCs w:val="16"/>
        </w:rPr>
        <w:t xml:space="preserve">ARB. (2000). “California Code of Regulations Title 13, Chapter 8. Clean Fuels Program December 2000.” California Air Resources Board. December 2000. &lt;http://www.arb.ca.gov/fuels/altfuels/cf-outlets/cforeg2000.pdf&gt;. </w:t>
      </w:r>
    </w:p>
  </w:footnote>
  <w:footnote w:id="129">
    <w:p w:rsidR="008359D1" w:rsidRPr="00027429" w:rsidRDefault="008359D1">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ARB. (2013). “Staff Report: Initial Statement Of Reasons - Proposed Amendments to the Clean Fuels Outlet Regulation.” California Air Resources Board, State of California. February 13, 2013. &lt;http://www.arb.ca.gov/regact/2013/cfo2013/cfo13isor.pdf&gt;.</w:t>
      </w:r>
    </w:p>
  </w:footnote>
  <w:footnote w:id="130">
    <w:p w:rsidR="008359D1" w:rsidRPr="00027429" w:rsidRDefault="008359D1" w:rsidP="0099604E">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Wang, Michael, Kevin Stork, Anant Vyas, Marianne Mintz, Margaret Singh, and Larry Johnson. (1997). “Assessment of PNGV Fuels Infrastructure - Phase 1 Report: Additional Capital Needs and Fuel-Cycle Energy and Emissions Impacts.” Center for Transportation Research, Argonne National Laboratory. January 1997. &lt;http://www.osti.gov/bridge/servlets/purl/527447-49UlKS/webviewable/527447.pdf&gt;.</w:t>
      </w:r>
    </w:p>
    <w:p w:rsidR="008359D1" w:rsidRPr="00027429" w:rsidRDefault="008359D1" w:rsidP="0099604E">
      <w:pPr>
        <w:pStyle w:val="FootnoteText"/>
        <w:rPr>
          <w:rFonts w:cs="Arial"/>
          <w:sz w:val="16"/>
          <w:szCs w:val="16"/>
        </w:rPr>
      </w:pPr>
      <w:r w:rsidRPr="00027429">
        <w:rPr>
          <w:rFonts w:cs="Arial"/>
          <w:sz w:val="16"/>
          <w:szCs w:val="16"/>
        </w:rPr>
        <w:t>Wang, Michael, Marianne Mintz, Margaret Singh, Kevin Stork, Anant Vyas, and Larry Johnson. (1998). “Assessment of PNGV Fuels Infrastructure - Phase 2 Report: Additional Capital Needs and Fuel-Cycle Energy and Emissions Impacts.” Center for Transportation Research, Argonne National Laboratory. April 1998. &lt;http://www.ornl.gov/~webworks/cppr/y2003/misc/117881.pdf&gt;.</w:t>
      </w:r>
    </w:p>
    <w:p w:rsidR="008359D1" w:rsidRPr="00027429" w:rsidRDefault="008359D1" w:rsidP="0099604E">
      <w:pPr>
        <w:pStyle w:val="FootnoteText"/>
        <w:rPr>
          <w:rFonts w:cs="Arial"/>
          <w:sz w:val="16"/>
          <w:szCs w:val="16"/>
        </w:rPr>
      </w:pPr>
      <w:r w:rsidRPr="00027429">
        <w:rPr>
          <w:rFonts w:cs="Arial"/>
          <w:sz w:val="16"/>
          <w:szCs w:val="16"/>
        </w:rPr>
        <w:t>NPC. (2012). “Chapter 5: Infrastructure.”</w:t>
      </w:r>
    </w:p>
    <w:p w:rsidR="008359D1" w:rsidRPr="00027429" w:rsidRDefault="008359D1" w:rsidP="00473E40">
      <w:pPr>
        <w:pStyle w:val="FootnoteText"/>
        <w:rPr>
          <w:rFonts w:cs="Arial"/>
          <w:sz w:val="16"/>
          <w:szCs w:val="16"/>
        </w:rPr>
      </w:pPr>
      <w:r w:rsidRPr="00027429">
        <w:rPr>
          <w:rFonts w:cs="Arial"/>
          <w:sz w:val="16"/>
          <w:szCs w:val="16"/>
        </w:rPr>
        <w:t>Ogden, Joan and Lorraine Anderson. (2011). “Sustainable Transportation Energy Pathways: A Research Summery for Decision Makers.” Institute of Transportation Studies, University of California, Davis. October 2011. &lt;http://www.steps.ucdavis.edu/steps-book/STEPS%20Book%20%28web%20version%29%20Sept2011.pdf&gt;.</w:t>
      </w:r>
    </w:p>
    <w:p w:rsidR="008359D1" w:rsidRPr="00027429" w:rsidRDefault="008359D1" w:rsidP="00473E40">
      <w:pPr>
        <w:pStyle w:val="FootnoteText"/>
        <w:rPr>
          <w:rFonts w:cs="Arial"/>
          <w:sz w:val="16"/>
          <w:szCs w:val="16"/>
        </w:rPr>
      </w:pPr>
      <w:r w:rsidRPr="00027429">
        <w:rPr>
          <w:rFonts w:cs="Arial"/>
          <w:sz w:val="16"/>
          <w:szCs w:val="16"/>
        </w:rPr>
        <w:t>NAS. (2013). “Transitions to Alternative Vehicles and Fuels.”</w:t>
      </w:r>
    </w:p>
  </w:footnote>
  <w:footnote w:id="131">
    <w:p w:rsidR="008359D1" w:rsidRPr="00027429" w:rsidRDefault="008359D1" w:rsidP="00473E40">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Capar, Ismail, Michael Kuby, V. Jorge Leon, and Yu-Jiun Tsai. (2013). “An arc cover-path-cover formulation and strategic analysis of alternative-fuel station locations.” European Journal of Operational Research. Volume 227, Issue 1, pp. 142-151. May 2013.</w:t>
      </w:r>
    </w:p>
  </w:footnote>
  <w:footnote w:id="132">
    <w:p w:rsidR="008359D1" w:rsidRPr="00027429" w:rsidRDefault="008359D1" w:rsidP="00473E40">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ARB. (2000). “California Code of Regulations Title 13, Chapter 8. Clean Fuels Program.”</w:t>
      </w:r>
    </w:p>
  </w:footnote>
  <w:footnote w:id="133">
    <w:p w:rsidR="008359D1" w:rsidRPr="00027429" w:rsidRDefault="008359D1" w:rsidP="00473E40">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1 Therm = 100,000 BTUs and 1 Gallon of Gasoline = 114,000 BTUs = 1.14 Therms, therefore 400,000 therms * 1.14 therms/GGE = 456,000 GGE.</w:t>
      </w:r>
    </w:p>
  </w:footnote>
  <w:footnote w:id="134">
    <w:p w:rsidR="008359D1" w:rsidRPr="00027429" w:rsidRDefault="008359D1" w:rsidP="00D44EFA">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373 kg H</w:t>
      </w:r>
      <w:r w:rsidRPr="00027429">
        <w:rPr>
          <w:rFonts w:cs="Arial"/>
          <w:sz w:val="16"/>
          <w:szCs w:val="16"/>
          <w:vertAlign w:val="subscript"/>
        </w:rPr>
        <w:t>2</w:t>
      </w:r>
      <w:r w:rsidRPr="00027429">
        <w:rPr>
          <w:rFonts w:cs="Arial"/>
          <w:sz w:val="16"/>
          <w:szCs w:val="16"/>
        </w:rPr>
        <w:t>/day ÷ 160 kg H</w:t>
      </w:r>
      <w:r w:rsidRPr="00027429">
        <w:rPr>
          <w:rFonts w:cs="Arial"/>
          <w:sz w:val="16"/>
          <w:szCs w:val="16"/>
          <w:vertAlign w:val="subscript"/>
        </w:rPr>
        <w:t>2</w:t>
      </w:r>
      <w:r w:rsidRPr="00027429">
        <w:rPr>
          <w:rFonts w:cs="Arial"/>
          <w:sz w:val="16"/>
          <w:szCs w:val="16"/>
        </w:rPr>
        <w:t>/day = 2.33</w:t>
      </w:r>
    </w:p>
  </w:footnote>
  <w:footnote w:id="135">
    <w:p w:rsidR="008359D1" w:rsidRPr="00027429" w:rsidRDefault="008359D1" w:rsidP="00832153">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240 million vehicles ÷ 160,000 stations = 1,500 vehicles per station</w:t>
      </w:r>
    </w:p>
  </w:footnote>
  <w:footnote w:id="136">
    <w:p w:rsidR="008359D1" w:rsidRPr="00027429" w:rsidRDefault="008359D1" w:rsidP="00D44EFA">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TIAX. (2012). “U.S. and Canadian Natural Gas Vehicle Market Analysis: Compressed Natural Gas Infrastructure, Final Report.” Prepared by TIAX for America’s Natural Gas Alliance. May 2012. &lt;http://www.ngvc.org/pdfs/Anga_Infrastructure_CNG_Full.pdf&gt;.</w:t>
      </w:r>
    </w:p>
  </w:footnote>
  <w:footnote w:id="137">
    <w:p w:rsidR="008359D1" w:rsidRPr="00027429" w:rsidRDefault="008359D1" w:rsidP="00D44EFA">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Moriarty, Kristi, Caley Johnson, Ted Sears, and Paul Bergeron. (2009). “E85 Dispenser Study.” Technical Report NREL/TP-7A2-47142. National Renewable Energy Laboratory. December 2009. &lt;http://www.afdc.energy.gov/pdfs/47172.pdf&gt;.</w:t>
      </w:r>
    </w:p>
  </w:footnote>
  <w:footnote w:id="138">
    <w:p w:rsidR="008359D1" w:rsidRPr="00027429" w:rsidRDefault="008359D1" w:rsidP="00D44EFA">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eTec. (2010). “Electric Vehicle Charging Infrastructure Deployment Guidelines for the Oregon I-5 Metro Areas of Portland, Salem, Corvallis and Eugene.” Electric Transportation Engineering Corporation, an ECOtality Company. April 2010. &lt;http://www.oregon.gov/ODOT/HWY/OIPP/docs/EVDeployGuidelines3-1.pdf&gt;.</w:t>
      </w:r>
    </w:p>
  </w:footnote>
  <w:footnote w:id="139">
    <w:p w:rsidR="008359D1" w:rsidRPr="00027429" w:rsidRDefault="008359D1">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Melaina, Marc W. and Michael Penev. (2012). “Hydrogen Refueling Infrastructure Cost Analysis.” National Renewable Energy Laboratory. May 15, 2012. &lt;http://www.hydrogen.energy.gov/pdfs/review12/an020_melaina_2012_o.pdf&gt;.</w:t>
      </w:r>
    </w:p>
  </w:footnote>
  <w:footnote w:id="140">
    <w:p w:rsidR="008359D1" w:rsidRPr="00027429" w:rsidRDefault="008359D1">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GE. (2012). “GE Researchers Developing At-Home Refueling Station for NG Vehicles.” General Electric. July 18, 2012. &lt;http://www.genewscenter.com/Press-Releases/GE-Researchers-Developing-At-Home-Refueling-Station-for-NG-Vehicles-39c7.aspx&gt;.</w:t>
      </w:r>
    </w:p>
    <w:p w:rsidR="008359D1" w:rsidRPr="00027429" w:rsidRDefault="008359D1">
      <w:pPr>
        <w:pStyle w:val="FootnoteText"/>
        <w:rPr>
          <w:rFonts w:cs="Arial"/>
          <w:sz w:val="16"/>
          <w:szCs w:val="16"/>
        </w:rPr>
      </w:pPr>
      <w:r w:rsidRPr="00027429">
        <w:rPr>
          <w:rFonts w:cs="Arial"/>
          <w:sz w:val="16"/>
          <w:szCs w:val="16"/>
        </w:rPr>
        <w:t>Eaton. (2012). “Eaton to Develop Affordable Home Refueling Station for Natural Gas Vehicles; Project Complements Eaton Advancements in Electric Vehicle Charging Stations.” Eaton Corporation. July 20, 2012. &lt;http://www.eaton.com/Eaton/OurCompany/NewsEvents/NewsReleases/PCT_378453&gt;.</w:t>
      </w:r>
    </w:p>
  </w:footnote>
  <w:footnote w:id="141">
    <w:p w:rsidR="008359D1" w:rsidRPr="00027429" w:rsidRDefault="008359D1">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Morrow, Kevin, Donald Karner, and James Francfort. (2008). “U.S. Department of Energy Vehicle Technologies Program – Advanced Vehicle Testing Activity: Plug-in Hybrid Electric Vehicle Charging Infrastructure Review.” No. 58517. Battelle Energy Alliance, Idaho National Laboratory. November 2008. &lt;http://avt.inl.gov/pdf/phev/phevInfrastructureReport08.pdf&gt;.</w:t>
      </w:r>
    </w:p>
    <w:p w:rsidR="008359D1" w:rsidRPr="00027429" w:rsidRDefault="008359D1">
      <w:pPr>
        <w:pStyle w:val="FootnoteText"/>
        <w:rPr>
          <w:rFonts w:cs="Arial"/>
          <w:sz w:val="16"/>
          <w:szCs w:val="16"/>
        </w:rPr>
      </w:pPr>
      <w:r w:rsidRPr="00027429">
        <w:rPr>
          <w:rFonts w:cs="Arial"/>
          <w:sz w:val="16"/>
          <w:szCs w:val="16"/>
        </w:rPr>
        <w:t>NAS. (2010). “Transitions to Alternative Transportation Technologies—Plug-in Hybrid Electric Vehicles.” Committee on Assessment of Resource Needs for Fuel Cell and Hydrogen Technologies; National Research Council. National Academy of Sciences. 2010. &lt;http://www.nap.edu/catalog.php?record_id=12826&gt;.</w:t>
      </w:r>
    </w:p>
  </w:footnote>
  <w:footnote w:id="142">
    <w:p w:rsidR="008359D1" w:rsidRPr="00027429" w:rsidRDefault="008359D1">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Tudor, Cody, Eric Sprung, Linh Nguyen, and Russ Tatro. (2012). “Plug-In &amp; Hybrid Electric Vehicle Charging Impacts: A Survey of California’s Utility Companies.” California Smart Grid Center . Presented at 2012 IEEE 13th International Conference on Information Reuse &amp; Integration (IRI). August 8-12, 2012.</w:t>
      </w:r>
    </w:p>
  </w:footnote>
  <w:footnote w:id="143">
    <w:p w:rsidR="008359D1" w:rsidRPr="00027429" w:rsidRDefault="008359D1" w:rsidP="00D44EFA">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NPC. (2012). “Chapter 5: Infrastructure.”</w:t>
      </w:r>
    </w:p>
  </w:footnote>
  <w:footnote w:id="144">
    <w:p w:rsidR="008359D1" w:rsidRPr="00027429" w:rsidRDefault="008359D1" w:rsidP="00D44EFA">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Moriarty, Kristi, Caley Johnson, Ted Sears, and Paul Bergeron. (2009). “E85 Dispenser Study.”</w:t>
      </w:r>
    </w:p>
  </w:footnote>
  <w:footnote w:id="145">
    <w:p w:rsidR="008359D1" w:rsidRPr="00027429" w:rsidRDefault="008359D1" w:rsidP="00D44EFA">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NPC. (2012). “Chapter 5: Infrastructure.”</w:t>
      </w:r>
    </w:p>
  </w:footnote>
  <w:footnote w:id="146">
    <w:p w:rsidR="008359D1" w:rsidRPr="00027429" w:rsidRDefault="008359D1" w:rsidP="00D44EFA">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The light-duty fleet in the United States is approximately 240,000,000 vehicles; a third of that would be 80,000,000 vehicles.</w:t>
      </w:r>
    </w:p>
  </w:footnote>
  <w:footnote w:id="147">
    <w:p w:rsidR="008359D1" w:rsidRPr="00027429" w:rsidRDefault="008359D1" w:rsidP="00D44EFA">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Ogden, Joan and Lorraine Anderson. (2011). “Sustainable Transportation Energy Pathways.”</w:t>
      </w:r>
    </w:p>
  </w:footnote>
  <w:footnote w:id="148">
    <w:p w:rsidR="008359D1" w:rsidRPr="00027429" w:rsidRDefault="008359D1" w:rsidP="00D44EFA">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Ogden, Joan and Lorraine Anderson. (2011). “Sustainable Transportation Energy Pathways.”</w:t>
      </w:r>
    </w:p>
  </w:footnote>
  <w:footnote w:id="149">
    <w:p w:rsidR="008359D1" w:rsidRPr="00027429" w:rsidRDefault="008359D1" w:rsidP="00D44EFA">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Ogden, Joan and Lorraine Anderson. (2011). “Sustainable Transportation Energy Pathways.”</w:t>
      </w:r>
    </w:p>
  </w:footnote>
  <w:footnote w:id="150">
    <w:p w:rsidR="008359D1" w:rsidRPr="00027429" w:rsidRDefault="008359D1" w:rsidP="00E85C44">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NAS. (2013). “Transitions to Alternative Vehicles and Fuels.”</w:t>
      </w:r>
    </w:p>
  </w:footnote>
  <w:footnote w:id="151">
    <w:p w:rsidR="008359D1" w:rsidRPr="00027429" w:rsidRDefault="008359D1" w:rsidP="00473E40">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These sources included LMC Automotive, Pike Research, the U.S. DOE Alternative Fuels Data Center, Forbes, and the International Council on Clean Transportation.</w:t>
      </w:r>
    </w:p>
  </w:footnote>
  <w:footnote w:id="152">
    <w:p w:rsidR="008359D1" w:rsidRPr="000A73EE" w:rsidRDefault="008359D1" w:rsidP="00C20357">
      <w:pPr>
        <w:pStyle w:val="FootnoteText"/>
        <w:rPr>
          <w:sz w:val="16"/>
          <w:szCs w:val="16"/>
        </w:rPr>
      </w:pPr>
      <w:r w:rsidRPr="000A73EE">
        <w:rPr>
          <w:rStyle w:val="FootnoteReference"/>
          <w:sz w:val="16"/>
          <w:szCs w:val="16"/>
        </w:rPr>
        <w:footnoteRef/>
      </w:r>
      <w:r w:rsidRPr="000A73EE">
        <w:rPr>
          <w:sz w:val="16"/>
          <w:szCs w:val="16"/>
        </w:rPr>
        <w:t xml:space="preserve"> Voegele, Erin. (2012). “EPA, DOT finalize fuel efficiency rule, address biofuel comments.”</w:t>
      </w:r>
    </w:p>
  </w:footnote>
  <w:footnote w:id="153">
    <w:p w:rsidR="008359D1" w:rsidRPr="00524293" w:rsidRDefault="008359D1" w:rsidP="00D95E4D">
      <w:pPr>
        <w:pStyle w:val="FootnoteText"/>
        <w:rPr>
          <w:rFonts w:ascii="Arial" w:hAnsi="Arial" w:cs="Arial"/>
          <w:sz w:val="16"/>
          <w:szCs w:val="16"/>
        </w:rPr>
      </w:pPr>
      <w:r w:rsidRPr="000A73EE">
        <w:rPr>
          <w:rStyle w:val="FootnoteReference"/>
          <w:rFonts w:cs="Arial"/>
          <w:sz w:val="16"/>
          <w:szCs w:val="16"/>
        </w:rPr>
        <w:footnoteRef/>
      </w:r>
      <w:r w:rsidRPr="000A73EE">
        <w:rPr>
          <w:rFonts w:cs="Arial"/>
          <w:sz w:val="16"/>
          <w:szCs w:val="16"/>
        </w:rPr>
        <w:t xml:space="preserve"> Huo, Hong, Qiang Zhang, Fei Liu, and Kebin He. (2012). “Climate and Environmental Effects of Electric Vehicles verses Compressed Natural Gas Vehicles in China.”</w:t>
      </w:r>
    </w:p>
  </w:footnote>
  <w:footnote w:id="154">
    <w:p w:rsidR="008359D1" w:rsidRPr="00027429" w:rsidRDefault="008359D1" w:rsidP="005C281A">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Heintz, James, Robert Pollin, and Heidi Garrett-Peltier. (2009). “How Infrastructure Investments Support the U.S. Economy: Employment, Productivity, and Growth.” Political Economy Research Institute (PERI), University of Massachusetts-Amherst. January 16, 2009. Page 3. &lt;http://www.peri.umass.edu/fileadmin/pdf/other_publication_types/green_economics/PERI_Infrastructure_Investments&gt;.</w:t>
      </w:r>
    </w:p>
  </w:footnote>
  <w:footnote w:id="155">
    <w:p w:rsidR="008359D1" w:rsidRPr="00027429" w:rsidRDefault="008359D1">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Hill, Kim, Bernard Swiecki, Deb Menk, Joshua Cregger, and Michael Schultz. (2013). “Economic Contribution of the Ford Motor Company Michigan Assembly Plant to the Michigan Economy.” Center for Automotive Research. Prepared for Michigan Economic Development Corporation and Ford Motor Company. March 2013. &lt;http://www.cargroup.org/?module=Publications&amp;event=View&amp;pubID=99&gt;.</w:t>
      </w:r>
    </w:p>
  </w:footnote>
  <w:footnote w:id="156">
    <w:p w:rsidR="008359D1" w:rsidRPr="00027429" w:rsidRDefault="008359D1" w:rsidP="005C281A">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Winston, Clifford. (2012). “On the Performance of the U.S. Transportation System: Caution Ahead.” Brookings Institution, October 2012. Forthcoming Paper in the Journal of Economic Literature.</w:t>
      </w:r>
    </w:p>
  </w:footnote>
  <w:footnote w:id="157">
    <w:p w:rsidR="008359D1" w:rsidRPr="00027429" w:rsidRDefault="008359D1" w:rsidP="00D92A03">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NAS. (2013). “Transitions to Alternative Vehicles and Fuels.”</w:t>
      </w:r>
    </w:p>
  </w:footnote>
  <w:footnote w:id="158">
    <w:p w:rsidR="008359D1" w:rsidRPr="00027429" w:rsidRDefault="008359D1" w:rsidP="00E821BF">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EERE. (2013). Alternative Fuels Data Center.</w:t>
      </w:r>
    </w:p>
  </w:footnote>
  <w:footnote w:id="159">
    <w:p w:rsidR="008359D1" w:rsidRPr="00027429" w:rsidRDefault="008359D1" w:rsidP="00221BEF">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ARPA-E. (2013). Advanced Research Projects Agency, United States Department of Energy. Website. Accessed March 20, 2013. &lt;http://arpa-e.energy.gov/&gt;.</w:t>
      </w:r>
    </w:p>
    <w:p w:rsidR="008359D1" w:rsidRPr="00027429" w:rsidRDefault="008359D1" w:rsidP="00221BEF">
      <w:pPr>
        <w:pStyle w:val="FootnoteText"/>
        <w:rPr>
          <w:rFonts w:cs="Arial"/>
          <w:sz w:val="16"/>
          <w:szCs w:val="16"/>
        </w:rPr>
      </w:pPr>
      <w:r w:rsidRPr="00027429">
        <w:rPr>
          <w:rFonts w:cs="Arial"/>
          <w:sz w:val="16"/>
          <w:szCs w:val="16"/>
        </w:rPr>
        <w:t>USDA. (2012). “USDA Grants Support Sustainable Bioenergy Production.” United States Department of Agriculture. Release No. 0360.12. December 14, 2012. &lt;http://www.usda.gov/wps/portal/usda/usdahome?contentid=2012/12/0360.xml&amp;contentidonly=true&gt;.</w:t>
      </w:r>
    </w:p>
  </w:footnote>
  <w:footnote w:id="160">
    <w:p w:rsidR="008359D1" w:rsidRPr="00027429" w:rsidRDefault="008359D1" w:rsidP="00C00BEC">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SEC. (2011). “Municipal Bonds.” United States Securities and Exchange Commission. January 28, 2011. &lt;http://www.sec.gov/answers/bondmun.htm&gt;.</w:t>
      </w:r>
    </w:p>
  </w:footnote>
  <w:footnote w:id="161">
    <w:p w:rsidR="008359D1" w:rsidRPr="00027429" w:rsidRDefault="008359D1">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SEC. (2011). “Municipal Bonds.”</w:t>
      </w:r>
    </w:p>
  </w:footnote>
  <w:footnote w:id="162">
    <w:p w:rsidR="008359D1" w:rsidRPr="00027429" w:rsidRDefault="008359D1">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DSIRE. (2013). “Renewable Electricity Production Tax Credit (PTC).” Database of State Incentives for Renewables &amp; Efficiency. January 3, 2013. &lt;http://dsireusa.org/incentives/incentive.cfm?Incentive_Code=US13F&gt;.</w:t>
      </w:r>
    </w:p>
  </w:footnote>
  <w:footnote w:id="163">
    <w:p w:rsidR="008359D1" w:rsidRPr="00027429" w:rsidRDefault="008359D1" w:rsidP="00FB33AC">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ILLS. (2011). “Green Stimulus Measures.” EC-IILS Joint Discussion Paper Series No. 15. International Institute for Labor Studies, International Labour Organization. November 16, 2011. &lt;http://www.ilo.org/inst/research/addressing-crisis-challenges/discussion-paper-series/WCMS_194185/lang--en/index.htm&gt;.</w:t>
      </w:r>
    </w:p>
  </w:footnote>
  <w:footnote w:id="164">
    <w:p w:rsidR="008359D1" w:rsidRPr="00027429" w:rsidRDefault="008359D1">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IRS. (2013). “Plug-In Electric Drive Vehicle Credit (IRC 30D).” United States Internal Revenue Service. February 5, 2013. &lt;http://www.irs.gov/Businesses/Plug-In-Electric-Vehicle-Credit-(IRC-30-and-IRC-30D)&gt;.</w:t>
      </w:r>
    </w:p>
  </w:footnote>
  <w:footnote w:id="165">
    <w:p w:rsidR="008359D1" w:rsidRPr="00027429" w:rsidRDefault="008359D1">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RFA. (2012). “Tax Incentives.” Renewable Fuels Association. April 2012. &lt;http://www.ethanolrfa.org/pages/tax-incentives&gt;.</w:t>
      </w:r>
    </w:p>
  </w:footnote>
  <w:footnote w:id="166">
    <w:p w:rsidR="008359D1" w:rsidRPr="00027429" w:rsidRDefault="008359D1">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GFEI. (2013). “Cleaner, More Efficient Vehicles.” Global Fuel Economy Initiative. Accessed March 20, 2013. &lt;http://www.unep.org/transport/gfei/autotool/index.asp&gt;.</w:t>
      </w:r>
    </w:p>
  </w:footnote>
  <w:footnote w:id="167">
    <w:p w:rsidR="008359D1" w:rsidRPr="00027429" w:rsidRDefault="008359D1" w:rsidP="007F58CB">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Hill, Kim and Joshua Cregger. (2011). “Deployment Rollout Estimate of Electric Vehicles 2011-2015.” Center for Automotive Research. January 2011. &lt;http://www.cargroup.org/?module=Publications&amp;event=View&amp;pubID=12&gt;.</w:t>
      </w:r>
    </w:p>
  </w:footnote>
  <w:footnote w:id="168">
    <w:p w:rsidR="008359D1" w:rsidRPr="00027429" w:rsidRDefault="008359D1">
      <w:pPr>
        <w:pStyle w:val="FootnoteText"/>
        <w:rPr>
          <w:sz w:val="16"/>
          <w:szCs w:val="16"/>
        </w:rPr>
      </w:pPr>
      <w:r w:rsidRPr="00027429">
        <w:rPr>
          <w:rStyle w:val="FootnoteReference"/>
          <w:sz w:val="16"/>
          <w:szCs w:val="16"/>
        </w:rPr>
        <w:footnoteRef/>
      </w:r>
      <w:r w:rsidRPr="00027429">
        <w:rPr>
          <w:sz w:val="16"/>
          <w:szCs w:val="16"/>
        </w:rPr>
        <w:t xml:space="preserve"> Corts, Kenneth S. (2010). “Building out alternative Fuel retail infrastructure: Government fleet spillovers in E85.” Journal of Environmental Economics and Management. Volume 59, Issue 3, pp. 219-234. May 2010.</w:t>
      </w:r>
    </w:p>
  </w:footnote>
  <w:footnote w:id="169">
    <w:p w:rsidR="008359D1" w:rsidRPr="00027429" w:rsidRDefault="008359D1" w:rsidP="00867DFC">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EIB. (2013). The European Investment Bank. Website. Accessed March 21, 2013. &lt;http://www.eib.org/&gt;. </w:t>
      </w:r>
    </w:p>
  </w:footnote>
  <w:footnote w:id="170">
    <w:p w:rsidR="008359D1" w:rsidRPr="00027429" w:rsidRDefault="008359D1" w:rsidP="00867DFC">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EIB. (2013). The European Investment Bank.</w:t>
      </w:r>
    </w:p>
  </w:footnote>
  <w:footnote w:id="171">
    <w:p w:rsidR="008359D1" w:rsidRPr="00027429" w:rsidRDefault="008359D1">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BNDES. (2013). Brazilian Development Bank. Website. Accessed March 21, 2013. &lt;http://www.bndes.gov.br/SiteBNDES/bndes/bndes_en/&gt;.</w:t>
      </w:r>
    </w:p>
  </w:footnote>
  <w:footnote w:id="172">
    <w:p w:rsidR="008359D1" w:rsidRPr="00027429" w:rsidRDefault="008359D1" w:rsidP="0036563A">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Cordonnier, Vanessa M. (2008). “Ethanol's Roots.”</w:t>
      </w:r>
    </w:p>
  </w:footnote>
  <w:footnote w:id="173">
    <w:p w:rsidR="008359D1" w:rsidRPr="00027429" w:rsidRDefault="008359D1" w:rsidP="0036563A">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BNDES. (2013). Brazilian Development Bank.</w:t>
      </w:r>
    </w:p>
  </w:footnote>
  <w:footnote w:id="174">
    <w:p w:rsidR="008359D1" w:rsidRPr="00027429" w:rsidRDefault="008359D1">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Galston, William A. and Korin Davis. (2012). "Setting Priorities, Meeting Needs: The Case for a National Infrastructure Bank." Brookings Institute. December 13, 2012. &lt;http://www.brookings.edu/~/media/research/files/papers/2012/12/13%20infrastructure%20galston%20davis/1213_infrastructure_galston_davis.pdf&gt;.</w:t>
      </w:r>
    </w:p>
  </w:footnote>
  <w:footnote w:id="175">
    <w:p w:rsidR="008359D1" w:rsidRPr="00027429" w:rsidRDefault="008359D1">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Galston, William A. and Korin Davis. (2012). "Setting Priorities, Meeting Needs."</w:t>
      </w:r>
    </w:p>
  </w:footnote>
  <w:footnote w:id="176">
    <w:p w:rsidR="008359D1" w:rsidRPr="00027429" w:rsidRDefault="008359D1">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Galston, William A. and Korin Davis. (2012). "Setting Priorities, Meeting Needs."</w:t>
      </w:r>
    </w:p>
  </w:footnote>
  <w:footnote w:id="177">
    <w:p w:rsidR="008359D1" w:rsidRPr="00027429" w:rsidRDefault="008359D1" w:rsidP="00433A48">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Economist. (2013). “Building Infrastructure: A River Runs through It.” The Economist. March 2</w:t>
      </w:r>
      <w:r w:rsidRPr="00027429">
        <w:rPr>
          <w:rFonts w:cs="Arial"/>
          <w:sz w:val="16"/>
          <w:szCs w:val="16"/>
          <w:vertAlign w:val="superscript"/>
        </w:rPr>
        <w:t>nd</w:t>
      </w:r>
      <w:r w:rsidRPr="00027429">
        <w:rPr>
          <w:rFonts w:cs="Arial"/>
          <w:sz w:val="16"/>
          <w:szCs w:val="16"/>
        </w:rPr>
        <w:t>, 2013. &lt;http://www.economist.com/news/united-states/21572794-natural-experiment-infrastructure-river-runs-through-it&gt;.</w:t>
      </w:r>
    </w:p>
  </w:footnote>
  <w:footnote w:id="178">
    <w:p w:rsidR="008359D1" w:rsidRPr="00524293" w:rsidRDefault="008359D1" w:rsidP="00433A48">
      <w:pPr>
        <w:pStyle w:val="FootnoteText"/>
        <w:rPr>
          <w:rFonts w:ascii="Arial" w:hAnsi="Arial" w:cs="Arial"/>
          <w:sz w:val="16"/>
          <w:szCs w:val="16"/>
        </w:rPr>
      </w:pPr>
      <w:r w:rsidRPr="00027429">
        <w:rPr>
          <w:rStyle w:val="FootnoteReference"/>
          <w:rFonts w:cs="Arial"/>
          <w:sz w:val="16"/>
          <w:szCs w:val="16"/>
        </w:rPr>
        <w:footnoteRef/>
      </w:r>
      <w:r w:rsidRPr="00027429">
        <w:rPr>
          <w:rFonts w:cs="Arial"/>
          <w:sz w:val="16"/>
          <w:szCs w:val="16"/>
        </w:rPr>
        <w:t xml:space="preserve"> Economist. (2013). “Building Infrastructure.”</w:t>
      </w:r>
    </w:p>
  </w:footnote>
  <w:footnote w:id="179">
    <w:p w:rsidR="008359D1" w:rsidRPr="00027429" w:rsidRDefault="008359D1">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EERE. (2013). Alternative Fuels Data Center.</w:t>
      </w:r>
    </w:p>
  </w:footnote>
  <w:footnote w:id="180">
    <w:p w:rsidR="008359D1" w:rsidRPr="00027429" w:rsidRDefault="008359D1">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The loans have an interest rate of around five percent and can be paid back within 25 years.</w:t>
      </w:r>
    </w:p>
  </w:footnote>
  <w:footnote w:id="181">
    <w:p w:rsidR="008359D1" w:rsidRPr="00027429" w:rsidRDefault="008359D1">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DOE. (2013). "ATVM." Loan Programs Office, United States Department of Energy. Accessed March 21, 2013. &lt;https://lpo.energy.gov/?page_id=43&gt;.</w:t>
      </w:r>
    </w:p>
  </w:footnote>
  <w:footnote w:id="182">
    <w:p w:rsidR="008359D1" w:rsidRPr="00027429" w:rsidRDefault="008359D1" w:rsidP="00841656">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DOE. (2013). "ATVM."</w:t>
      </w:r>
    </w:p>
  </w:footnote>
  <w:footnote w:id="183">
    <w:p w:rsidR="008359D1" w:rsidRPr="00524293" w:rsidRDefault="008359D1">
      <w:pPr>
        <w:pStyle w:val="FootnoteText"/>
        <w:rPr>
          <w:rFonts w:ascii="Arial" w:hAnsi="Arial" w:cs="Arial"/>
          <w:sz w:val="16"/>
          <w:szCs w:val="16"/>
        </w:rPr>
      </w:pPr>
      <w:r w:rsidRPr="00027429">
        <w:rPr>
          <w:rStyle w:val="FootnoteReference"/>
          <w:rFonts w:cs="Arial"/>
          <w:sz w:val="16"/>
          <w:szCs w:val="16"/>
        </w:rPr>
        <w:footnoteRef/>
      </w:r>
      <w:r w:rsidRPr="00027429">
        <w:rPr>
          <w:rFonts w:cs="Arial"/>
          <w:sz w:val="16"/>
          <w:szCs w:val="16"/>
        </w:rPr>
        <w:t xml:space="preserve"> Hill, Kim and Joshua Cregger. (2011). “Deployment Rollout Estimate of Electric Vehicles 2011-2015.”</w:t>
      </w:r>
    </w:p>
  </w:footnote>
  <w:footnote w:id="184">
    <w:p w:rsidR="008359D1" w:rsidRPr="00027429" w:rsidRDefault="008359D1">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DOE. (2009). “Recovery Act Awards for Alternative Fuels and Advanced Vehicle Pilot Program.” U.S. Department of Energy. August 26, 2009. &lt;http://michigan.gov/documents/recovery/Clean_Cities_Recovery_Act_Award_List_8_25_09_v4_290161_7.pdf&gt;.</w:t>
      </w:r>
    </w:p>
  </w:footnote>
  <w:footnote w:id="185">
    <w:p w:rsidR="008359D1" w:rsidRPr="00027429" w:rsidRDefault="008359D1" w:rsidP="00FF6617">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ECOtality. (2010). “The EV Project Expands To Texas.” ECOtality North America. July 15, 2010. &lt;http://www.ecotality.com/pressreleases/07142010_Expansion_Texas.pdf&gt;.</w:t>
      </w:r>
    </w:p>
  </w:footnote>
  <w:footnote w:id="186">
    <w:p w:rsidR="008359D1" w:rsidRPr="00027429" w:rsidRDefault="008359D1" w:rsidP="00FF6617">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ChargePoint. (2013). ChargePoint America. Website. Accessed March 22, 2013. &lt;http://www.chargepointamerica.com/&gt;.</w:t>
      </w:r>
    </w:p>
  </w:footnote>
  <w:footnote w:id="187">
    <w:p w:rsidR="008359D1" w:rsidRPr="00524293" w:rsidRDefault="008359D1">
      <w:pPr>
        <w:pStyle w:val="FootnoteText"/>
        <w:rPr>
          <w:rFonts w:ascii="Arial" w:hAnsi="Arial" w:cs="Arial"/>
          <w:sz w:val="16"/>
          <w:szCs w:val="16"/>
        </w:rPr>
      </w:pPr>
      <w:r w:rsidRPr="00027429">
        <w:rPr>
          <w:rStyle w:val="FootnoteReference"/>
          <w:rFonts w:cs="Arial"/>
          <w:sz w:val="16"/>
          <w:szCs w:val="16"/>
        </w:rPr>
        <w:footnoteRef/>
      </w:r>
      <w:r w:rsidRPr="00027429">
        <w:rPr>
          <w:rFonts w:cs="Arial"/>
          <w:sz w:val="16"/>
          <w:szCs w:val="16"/>
        </w:rPr>
        <w:t xml:space="preserve"> GAO. (2006). “Highway Finance: States’ Expanding Use of Tolling Illustrates Diverse Challenges and Strategies.” GAO-06-554. United States Government Accountability Office. June 2006. &lt;http://www.gao.gov/assets/260/250670.pdf&gt;.</w:t>
      </w:r>
    </w:p>
  </w:footnote>
  <w:footnote w:id="188">
    <w:p w:rsidR="008359D1" w:rsidRPr="00027429" w:rsidRDefault="008359D1" w:rsidP="0037255D">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Gregorio, David. (2013). “’Skeptical Environmentalist’ Opposes Propping up EU Carbon Credits.” Reuters. March 14, 2013. &lt;http://www.reuters.com/article/2013/03/14/us-eu-carbon-lomborg-idUSBRE92D1DB20130314&gt;. </w:t>
      </w:r>
    </w:p>
  </w:footnote>
  <w:footnote w:id="189">
    <w:p w:rsidR="008359D1" w:rsidRPr="00524293" w:rsidRDefault="008359D1">
      <w:pPr>
        <w:pStyle w:val="FootnoteText"/>
        <w:rPr>
          <w:rFonts w:ascii="Arial" w:hAnsi="Arial" w:cs="Arial"/>
          <w:sz w:val="16"/>
          <w:szCs w:val="16"/>
        </w:rPr>
      </w:pPr>
      <w:r w:rsidRPr="00027429">
        <w:rPr>
          <w:rStyle w:val="FootnoteReference"/>
          <w:rFonts w:cs="Arial"/>
          <w:sz w:val="16"/>
          <w:szCs w:val="16"/>
        </w:rPr>
        <w:footnoteRef/>
      </w:r>
      <w:r w:rsidRPr="00027429">
        <w:rPr>
          <w:rFonts w:cs="Arial"/>
          <w:sz w:val="16"/>
          <w:szCs w:val="16"/>
        </w:rPr>
        <w:t xml:space="preserve"> Market Watch. (2013). “ICE ECX EUA Futures.” Market Watch, Wall Street Journal. Accessed March 20, 2013. &lt;http://www.marketwatch.com/&gt;.</w:t>
      </w:r>
    </w:p>
  </w:footnote>
  <w:footnote w:id="190">
    <w:p w:rsidR="008359D1" w:rsidRPr="00027429" w:rsidRDefault="008359D1" w:rsidP="00073903">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EERE. (2013). Alternative Fuels Data Center.</w:t>
      </w:r>
    </w:p>
  </w:footnote>
  <w:footnote w:id="191">
    <w:p w:rsidR="008359D1" w:rsidRPr="00027429" w:rsidRDefault="008359D1" w:rsidP="00073903">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EERE. (2013). Alternative Fuels Data Center.</w:t>
      </w:r>
    </w:p>
  </w:footnote>
  <w:footnote w:id="192">
    <w:p w:rsidR="008359D1" w:rsidRPr="002A1037" w:rsidRDefault="008359D1" w:rsidP="00073903">
      <w:pPr>
        <w:pStyle w:val="FootnoteText"/>
        <w:rPr>
          <w:sz w:val="16"/>
          <w:szCs w:val="16"/>
        </w:rPr>
      </w:pPr>
      <w:r w:rsidRPr="002A1037">
        <w:rPr>
          <w:rStyle w:val="FootnoteReference"/>
          <w:sz w:val="16"/>
          <w:szCs w:val="16"/>
        </w:rPr>
        <w:footnoteRef/>
      </w:r>
      <w:r w:rsidRPr="002A1037">
        <w:rPr>
          <w:sz w:val="16"/>
          <w:szCs w:val="16"/>
        </w:rPr>
        <w:t xml:space="preserve"> Ogden, Joan and Lorraine Anderson. (2011). “Sustainable </w:t>
      </w:r>
      <w:r>
        <w:rPr>
          <w:sz w:val="16"/>
          <w:szCs w:val="16"/>
        </w:rPr>
        <w:t>Transportation Energy Pathways.”</w:t>
      </w:r>
    </w:p>
  </w:footnote>
  <w:footnote w:id="193">
    <w:p w:rsidR="008359D1" w:rsidRPr="002A1037" w:rsidRDefault="008359D1" w:rsidP="00073903">
      <w:pPr>
        <w:pStyle w:val="FootnoteText"/>
        <w:rPr>
          <w:sz w:val="16"/>
          <w:szCs w:val="16"/>
        </w:rPr>
      </w:pPr>
      <w:r w:rsidRPr="002A1037">
        <w:rPr>
          <w:rStyle w:val="FootnoteReference"/>
          <w:sz w:val="16"/>
          <w:szCs w:val="16"/>
        </w:rPr>
        <w:footnoteRef/>
      </w:r>
      <w:r w:rsidRPr="002A1037">
        <w:rPr>
          <w:sz w:val="16"/>
          <w:szCs w:val="16"/>
        </w:rPr>
        <w:t xml:space="preserve"> Ogden, Joan and Lorraine Anderson. (2011). “Sustainable</w:t>
      </w:r>
      <w:r>
        <w:rPr>
          <w:sz w:val="16"/>
          <w:szCs w:val="16"/>
        </w:rPr>
        <w:t xml:space="preserve"> Transportation Energy Pathways.”</w:t>
      </w:r>
    </w:p>
  </w:footnote>
  <w:footnote w:id="194">
    <w:p w:rsidR="008359D1" w:rsidRPr="002A1037" w:rsidRDefault="008359D1" w:rsidP="00073903">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EERE. (2013). </w:t>
      </w:r>
      <w:r w:rsidRPr="002A1037">
        <w:rPr>
          <w:rFonts w:cs="Arial"/>
          <w:sz w:val="16"/>
          <w:szCs w:val="16"/>
        </w:rPr>
        <w:t>Alternative Fuels Data Center.</w:t>
      </w:r>
    </w:p>
  </w:footnote>
  <w:footnote w:id="195">
    <w:p w:rsidR="008359D1" w:rsidRPr="00027429" w:rsidRDefault="008359D1" w:rsidP="00682BA3">
      <w:pPr>
        <w:pStyle w:val="FootnoteText"/>
        <w:rPr>
          <w:rFonts w:cs="Arial"/>
          <w:sz w:val="16"/>
          <w:szCs w:val="16"/>
        </w:rPr>
      </w:pPr>
      <w:r w:rsidRPr="00027429">
        <w:rPr>
          <w:rStyle w:val="FootnoteReference"/>
          <w:rFonts w:cs="Arial"/>
          <w:sz w:val="16"/>
          <w:szCs w:val="16"/>
        </w:rPr>
        <w:footnoteRef/>
      </w:r>
      <w:r w:rsidRPr="00027429">
        <w:rPr>
          <w:rFonts w:cs="Arial"/>
          <w:sz w:val="16"/>
          <w:szCs w:val="16"/>
        </w:rPr>
        <w:t xml:space="preserve"> 1 Therm = 100,000 BTUs and 1 Gallon of Gasoline = 114,000 BTUs = 1.14 Therms, therefore 400,000 therms * 1.14 therms/GGE = 456,000 GGE.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A3B" w:rsidRDefault="00E01A3B" w:rsidP="00973DBF">
    <w:pPr>
      <w:pStyle w:val="Header"/>
      <w:jc w:val="cent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9D1" w:rsidRDefault="008359D1" w:rsidP="00973DBF">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472F3"/>
    <w:multiLevelType w:val="hybridMultilevel"/>
    <w:tmpl w:val="52363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184264"/>
    <w:multiLevelType w:val="hybridMultilevel"/>
    <w:tmpl w:val="876EF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B376B76"/>
    <w:multiLevelType w:val="hybridMultilevel"/>
    <w:tmpl w:val="B3D22A10"/>
    <w:lvl w:ilvl="0" w:tplc="91D04DCA">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3F19683A"/>
    <w:multiLevelType w:val="hybridMultilevel"/>
    <w:tmpl w:val="B3D22A10"/>
    <w:lvl w:ilvl="0" w:tplc="91D04DCA">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519637A9"/>
    <w:multiLevelType w:val="hybridMultilevel"/>
    <w:tmpl w:val="315E3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9FF5F83"/>
    <w:multiLevelType w:val="hybridMultilevel"/>
    <w:tmpl w:val="B3D22A10"/>
    <w:lvl w:ilvl="0" w:tplc="91D04DCA">
      <w:start w:val="1"/>
      <w:numFmt w:val="upperRoman"/>
      <w:lvlText w:val="%1."/>
      <w:lvlJc w:val="left"/>
      <w:pPr>
        <w:ind w:left="720" w:hanging="72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0"/>
  </w:num>
  <w:num w:numId="2">
    <w:abstractNumId w:val="1"/>
  </w:num>
  <w:num w:numId="3">
    <w:abstractNumId w:val="4"/>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6ADF"/>
    <w:rsid w:val="00003202"/>
    <w:rsid w:val="00022913"/>
    <w:rsid w:val="000235A4"/>
    <w:rsid w:val="00023FAA"/>
    <w:rsid w:val="00027429"/>
    <w:rsid w:val="00030AA6"/>
    <w:rsid w:val="00031352"/>
    <w:rsid w:val="00033200"/>
    <w:rsid w:val="00037EF7"/>
    <w:rsid w:val="00042C26"/>
    <w:rsid w:val="00045DE4"/>
    <w:rsid w:val="00054F54"/>
    <w:rsid w:val="000550E8"/>
    <w:rsid w:val="000609FA"/>
    <w:rsid w:val="0006489F"/>
    <w:rsid w:val="0006637B"/>
    <w:rsid w:val="00071935"/>
    <w:rsid w:val="00073903"/>
    <w:rsid w:val="000760F6"/>
    <w:rsid w:val="00076E58"/>
    <w:rsid w:val="00077259"/>
    <w:rsid w:val="00080915"/>
    <w:rsid w:val="00080A60"/>
    <w:rsid w:val="0008106C"/>
    <w:rsid w:val="00085E68"/>
    <w:rsid w:val="00086E2C"/>
    <w:rsid w:val="000873FF"/>
    <w:rsid w:val="00093DD3"/>
    <w:rsid w:val="000A6721"/>
    <w:rsid w:val="000A73EE"/>
    <w:rsid w:val="000A7CF5"/>
    <w:rsid w:val="000B2D8C"/>
    <w:rsid w:val="000B5476"/>
    <w:rsid w:val="000C1C5A"/>
    <w:rsid w:val="000C7465"/>
    <w:rsid w:val="000C752C"/>
    <w:rsid w:val="000D231D"/>
    <w:rsid w:val="000D5927"/>
    <w:rsid w:val="000E0D35"/>
    <w:rsid w:val="000E2E6C"/>
    <w:rsid w:val="000F1670"/>
    <w:rsid w:val="000F170F"/>
    <w:rsid w:val="000F2F33"/>
    <w:rsid w:val="00113E29"/>
    <w:rsid w:val="00114951"/>
    <w:rsid w:val="001149ED"/>
    <w:rsid w:val="00120EEE"/>
    <w:rsid w:val="001213FB"/>
    <w:rsid w:val="00123E1C"/>
    <w:rsid w:val="00124A2B"/>
    <w:rsid w:val="001260F2"/>
    <w:rsid w:val="001314FA"/>
    <w:rsid w:val="001316BB"/>
    <w:rsid w:val="00131A60"/>
    <w:rsid w:val="00145BD8"/>
    <w:rsid w:val="001478E6"/>
    <w:rsid w:val="001520EA"/>
    <w:rsid w:val="00155EDD"/>
    <w:rsid w:val="00157B7D"/>
    <w:rsid w:val="00157CD6"/>
    <w:rsid w:val="001604B4"/>
    <w:rsid w:val="001615CB"/>
    <w:rsid w:val="00161AEF"/>
    <w:rsid w:val="00161BF7"/>
    <w:rsid w:val="00176CE0"/>
    <w:rsid w:val="00184947"/>
    <w:rsid w:val="00190F65"/>
    <w:rsid w:val="00192583"/>
    <w:rsid w:val="0019630B"/>
    <w:rsid w:val="001979F1"/>
    <w:rsid w:val="001A3C05"/>
    <w:rsid w:val="001A7A21"/>
    <w:rsid w:val="001B134F"/>
    <w:rsid w:val="001B3858"/>
    <w:rsid w:val="001B7A75"/>
    <w:rsid w:val="001C2439"/>
    <w:rsid w:val="001C27F4"/>
    <w:rsid w:val="001C4B70"/>
    <w:rsid w:val="001C5A67"/>
    <w:rsid w:val="001C603C"/>
    <w:rsid w:val="001C6700"/>
    <w:rsid w:val="001D2131"/>
    <w:rsid w:val="001D286A"/>
    <w:rsid w:val="001D71C7"/>
    <w:rsid w:val="001E21E6"/>
    <w:rsid w:val="001E3E95"/>
    <w:rsid w:val="001E42CA"/>
    <w:rsid w:val="001E59A2"/>
    <w:rsid w:val="001E6B9E"/>
    <w:rsid w:val="001E79A5"/>
    <w:rsid w:val="001F4DED"/>
    <w:rsid w:val="001F7B3B"/>
    <w:rsid w:val="00201DEC"/>
    <w:rsid w:val="002064BC"/>
    <w:rsid w:val="00216C49"/>
    <w:rsid w:val="00221BEF"/>
    <w:rsid w:val="00223213"/>
    <w:rsid w:val="00223737"/>
    <w:rsid w:val="002241F4"/>
    <w:rsid w:val="00224286"/>
    <w:rsid w:val="00227CC0"/>
    <w:rsid w:val="00231E2A"/>
    <w:rsid w:val="00234D79"/>
    <w:rsid w:val="00237332"/>
    <w:rsid w:val="002373AB"/>
    <w:rsid w:val="002450D5"/>
    <w:rsid w:val="00246079"/>
    <w:rsid w:val="00250B00"/>
    <w:rsid w:val="00251CB8"/>
    <w:rsid w:val="00252AF1"/>
    <w:rsid w:val="00252D0A"/>
    <w:rsid w:val="00252F96"/>
    <w:rsid w:val="00252FBF"/>
    <w:rsid w:val="002579D6"/>
    <w:rsid w:val="002628DC"/>
    <w:rsid w:val="002672A5"/>
    <w:rsid w:val="002740E1"/>
    <w:rsid w:val="00282050"/>
    <w:rsid w:val="002A19BE"/>
    <w:rsid w:val="002A2ABB"/>
    <w:rsid w:val="002A409D"/>
    <w:rsid w:val="002A5467"/>
    <w:rsid w:val="002B01A2"/>
    <w:rsid w:val="002B513D"/>
    <w:rsid w:val="002B6AF6"/>
    <w:rsid w:val="002D083F"/>
    <w:rsid w:val="002D13CB"/>
    <w:rsid w:val="002D1700"/>
    <w:rsid w:val="002E2C02"/>
    <w:rsid w:val="002E5B55"/>
    <w:rsid w:val="002F12D9"/>
    <w:rsid w:val="002F6472"/>
    <w:rsid w:val="002F6788"/>
    <w:rsid w:val="00310C26"/>
    <w:rsid w:val="00315DDC"/>
    <w:rsid w:val="00326E59"/>
    <w:rsid w:val="00335F29"/>
    <w:rsid w:val="003426F3"/>
    <w:rsid w:val="003436F1"/>
    <w:rsid w:val="00351C02"/>
    <w:rsid w:val="00355221"/>
    <w:rsid w:val="00355B25"/>
    <w:rsid w:val="0036563A"/>
    <w:rsid w:val="003672C2"/>
    <w:rsid w:val="0037109E"/>
    <w:rsid w:val="0037255D"/>
    <w:rsid w:val="003758D1"/>
    <w:rsid w:val="00376934"/>
    <w:rsid w:val="0038271E"/>
    <w:rsid w:val="003832DB"/>
    <w:rsid w:val="003863C6"/>
    <w:rsid w:val="00386AEB"/>
    <w:rsid w:val="00386F75"/>
    <w:rsid w:val="003A1919"/>
    <w:rsid w:val="003A19B6"/>
    <w:rsid w:val="003A236C"/>
    <w:rsid w:val="003A7D62"/>
    <w:rsid w:val="003B2001"/>
    <w:rsid w:val="003B64BF"/>
    <w:rsid w:val="003D15C4"/>
    <w:rsid w:val="003D59B9"/>
    <w:rsid w:val="003E0656"/>
    <w:rsid w:val="003E3543"/>
    <w:rsid w:val="003E472F"/>
    <w:rsid w:val="003E7A54"/>
    <w:rsid w:val="003F1BF8"/>
    <w:rsid w:val="003F5790"/>
    <w:rsid w:val="004023E2"/>
    <w:rsid w:val="00404DE2"/>
    <w:rsid w:val="00406C53"/>
    <w:rsid w:val="0041262E"/>
    <w:rsid w:val="004143D6"/>
    <w:rsid w:val="00416094"/>
    <w:rsid w:val="00416ACF"/>
    <w:rsid w:val="00420BB7"/>
    <w:rsid w:val="00424E17"/>
    <w:rsid w:val="00426E19"/>
    <w:rsid w:val="00427A9C"/>
    <w:rsid w:val="004314B8"/>
    <w:rsid w:val="00433A48"/>
    <w:rsid w:val="0043554D"/>
    <w:rsid w:val="00435A15"/>
    <w:rsid w:val="004412A0"/>
    <w:rsid w:val="00443F7C"/>
    <w:rsid w:val="00445D2D"/>
    <w:rsid w:val="004574E9"/>
    <w:rsid w:val="00466D27"/>
    <w:rsid w:val="00466FA2"/>
    <w:rsid w:val="00472040"/>
    <w:rsid w:val="0047236D"/>
    <w:rsid w:val="00472F28"/>
    <w:rsid w:val="004731E6"/>
    <w:rsid w:val="00473E40"/>
    <w:rsid w:val="0048418B"/>
    <w:rsid w:val="00484578"/>
    <w:rsid w:val="004847F1"/>
    <w:rsid w:val="004854A6"/>
    <w:rsid w:val="00487E0F"/>
    <w:rsid w:val="00493D54"/>
    <w:rsid w:val="00493DD7"/>
    <w:rsid w:val="00496211"/>
    <w:rsid w:val="00496E60"/>
    <w:rsid w:val="004A5EA6"/>
    <w:rsid w:val="004C760B"/>
    <w:rsid w:val="004D0E24"/>
    <w:rsid w:val="004D27AD"/>
    <w:rsid w:val="004D44B1"/>
    <w:rsid w:val="004D674E"/>
    <w:rsid w:val="004E5E56"/>
    <w:rsid w:val="004F1CED"/>
    <w:rsid w:val="004F6E0D"/>
    <w:rsid w:val="0050120B"/>
    <w:rsid w:val="00515003"/>
    <w:rsid w:val="00517332"/>
    <w:rsid w:val="00523419"/>
    <w:rsid w:val="00524293"/>
    <w:rsid w:val="00525384"/>
    <w:rsid w:val="00525565"/>
    <w:rsid w:val="00526484"/>
    <w:rsid w:val="00527521"/>
    <w:rsid w:val="005374C5"/>
    <w:rsid w:val="00537BC9"/>
    <w:rsid w:val="00542890"/>
    <w:rsid w:val="005476EF"/>
    <w:rsid w:val="00553585"/>
    <w:rsid w:val="005545DC"/>
    <w:rsid w:val="005617A5"/>
    <w:rsid w:val="005670E5"/>
    <w:rsid w:val="00575998"/>
    <w:rsid w:val="005841F7"/>
    <w:rsid w:val="00586BAB"/>
    <w:rsid w:val="00596B19"/>
    <w:rsid w:val="00597A78"/>
    <w:rsid w:val="005A6044"/>
    <w:rsid w:val="005A7A48"/>
    <w:rsid w:val="005B6722"/>
    <w:rsid w:val="005C0E93"/>
    <w:rsid w:val="005C19D7"/>
    <w:rsid w:val="005C281A"/>
    <w:rsid w:val="005C3EC9"/>
    <w:rsid w:val="005C76B1"/>
    <w:rsid w:val="005C7E01"/>
    <w:rsid w:val="005D0490"/>
    <w:rsid w:val="005D7041"/>
    <w:rsid w:val="005D7E0F"/>
    <w:rsid w:val="005E2F3F"/>
    <w:rsid w:val="005E4B65"/>
    <w:rsid w:val="005E77CA"/>
    <w:rsid w:val="005F2F0D"/>
    <w:rsid w:val="005F35F9"/>
    <w:rsid w:val="00601258"/>
    <w:rsid w:val="006024B7"/>
    <w:rsid w:val="0060325A"/>
    <w:rsid w:val="00604630"/>
    <w:rsid w:val="006059E3"/>
    <w:rsid w:val="00611AD8"/>
    <w:rsid w:val="00614B2A"/>
    <w:rsid w:val="0061646E"/>
    <w:rsid w:val="0062130D"/>
    <w:rsid w:val="0062326F"/>
    <w:rsid w:val="00625247"/>
    <w:rsid w:val="006303A7"/>
    <w:rsid w:val="006325B9"/>
    <w:rsid w:val="00633013"/>
    <w:rsid w:val="00637E12"/>
    <w:rsid w:val="00650A2A"/>
    <w:rsid w:val="00657BBC"/>
    <w:rsid w:val="00660A01"/>
    <w:rsid w:val="006673A3"/>
    <w:rsid w:val="00670491"/>
    <w:rsid w:val="00670B59"/>
    <w:rsid w:val="006730F0"/>
    <w:rsid w:val="0068296D"/>
    <w:rsid w:val="00682BA3"/>
    <w:rsid w:val="0068532B"/>
    <w:rsid w:val="00685D3F"/>
    <w:rsid w:val="00686B6F"/>
    <w:rsid w:val="006A0239"/>
    <w:rsid w:val="006A2CB5"/>
    <w:rsid w:val="006A30A7"/>
    <w:rsid w:val="006A3DDB"/>
    <w:rsid w:val="006A63AF"/>
    <w:rsid w:val="006B670E"/>
    <w:rsid w:val="006B6ADF"/>
    <w:rsid w:val="006C3038"/>
    <w:rsid w:val="006C46AB"/>
    <w:rsid w:val="006D20F7"/>
    <w:rsid w:val="006D3B92"/>
    <w:rsid w:val="006E68C1"/>
    <w:rsid w:val="006F6FE5"/>
    <w:rsid w:val="0070387D"/>
    <w:rsid w:val="00705F45"/>
    <w:rsid w:val="00706C85"/>
    <w:rsid w:val="00715731"/>
    <w:rsid w:val="007278E0"/>
    <w:rsid w:val="00727DB5"/>
    <w:rsid w:val="00734D5F"/>
    <w:rsid w:val="0074421C"/>
    <w:rsid w:val="00746088"/>
    <w:rsid w:val="007515FB"/>
    <w:rsid w:val="0076278D"/>
    <w:rsid w:val="00763318"/>
    <w:rsid w:val="00763AB6"/>
    <w:rsid w:val="00764DD6"/>
    <w:rsid w:val="00776C54"/>
    <w:rsid w:val="007831F2"/>
    <w:rsid w:val="00784488"/>
    <w:rsid w:val="0078480F"/>
    <w:rsid w:val="00784957"/>
    <w:rsid w:val="0078573C"/>
    <w:rsid w:val="00786B9C"/>
    <w:rsid w:val="00797100"/>
    <w:rsid w:val="007A2D7C"/>
    <w:rsid w:val="007A6323"/>
    <w:rsid w:val="007B2F66"/>
    <w:rsid w:val="007C0637"/>
    <w:rsid w:val="007C0E55"/>
    <w:rsid w:val="007C12AE"/>
    <w:rsid w:val="007C6A06"/>
    <w:rsid w:val="007D3F9C"/>
    <w:rsid w:val="007D58BC"/>
    <w:rsid w:val="007D657C"/>
    <w:rsid w:val="007E0D18"/>
    <w:rsid w:val="007E4EE9"/>
    <w:rsid w:val="007F22CF"/>
    <w:rsid w:val="007F22F0"/>
    <w:rsid w:val="007F2B21"/>
    <w:rsid w:val="007F58CB"/>
    <w:rsid w:val="00803860"/>
    <w:rsid w:val="00804FAA"/>
    <w:rsid w:val="00813031"/>
    <w:rsid w:val="00815C0E"/>
    <w:rsid w:val="00815CC2"/>
    <w:rsid w:val="008206A3"/>
    <w:rsid w:val="00825A8F"/>
    <w:rsid w:val="00826007"/>
    <w:rsid w:val="00826A9C"/>
    <w:rsid w:val="00827932"/>
    <w:rsid w:val="00831841"/>
    <w:rsid w:val="00832153"/>
    <w:rsid w:val="00835369"/>
    <w:rsid w:val="008359D1"/>
    <w:rsid w:val="00841656"/>
    <w:rsid w:val="00844DD2"/>
    <w:rsid w:val="008451AB"/>
    <w:rsid w:val="0084771A"/>
    <w:rsid w:val="008513CF"/>
    <w:rsid w:val="0085411C"/>
    <w:rsid w:val="00854E1C"/>
    <w:rsid w:val="00866ADC"/>
    <w:rsid w:val="00867DFC"/>
    <w:rsid w:val="008720F3"/>
    <w:rsid w:val="00875164"/>
    <w:rsid w:val="00875577"/>
    <w:rsid w:val="008827F1"/>
    <w:rsid w:val="008A0124"/>
    <w:rsid w:val="008A2503"/>
    <w:rsid w:val="008A3101"/>
    <w:rsid w:val="008A3B40"/>
    <w:rsid w:val="008A3F34"/>
    <w:rsid w:val="008A4632"/>
    <w:rsid w:val="008C05BF"/>
    <w:rsid w:val="008C16B9"/>
    <w:rsid w:val="008C2646"/>
    <w:rsid w:val="008C44CA"/>
    <w:rsid w:val="008D0F3F"/>
    <w:rsid w:val="008D4548"/>
    <w:rsid w:val="008D4935"/>
    <w:rsid w:val="008E17B2"/>
    <w:rsid w:val="008E6A4D"/>
    <w:rsid w:val="008E79A2"/>
    <w:rsid w:val="008E7D78"/>
    <w:rsid w:val="008F3E03"/>
    <w:rsid w:val="008F4276"/>
    <w:rsid w:val="008F4A7C"/>
    <w:rsid w:val="00900B08"/>
    <w:rsid w:val="0090609A"/>
    <w:rsid w:val="00914BDA"/>
    <w:rsid w:val="00920CF5"/>
    <w:rsid w:val="00922073"/>
    <w:rsid w:val="009234A8"/>
    <w:rsid w:val="00925119"/>
    <w:rsid w:val="009310BE"/>
    <w:rsid w:val="009329A6"/>
    <w:rsid w:val="009349B3"/>
    <w:rsid w:val="009429B5"/>
    <w:rsid w:val="009444F6"/>
    <w:rsid w:val="0094762C"/>
    <w:rsid w:val="00952E46"/>
    <w:rsid w:val="00963E8A"/>
    <w:rsid w:val="00964AB4"/>
    <w:rsid w:val="00964FA4"/>
    <w:rsid w:val="00971AD1"/>
    <w:rsid w:val="0097221D"/>
    <w:rsid w:val="00973DBF"/>
    <w:rsid w:val="0098385C"/>
    <w:rsid w:val="0098452C"/>
    <w:rsid w:val="00984B07"/>
    <w:rsid w:val="00986F41"/>
    <w:rsid w:val="00990E61"/>
    <w:rsid w:val="009957C4"/>
    <w:rsid w:val="0099604E"/>
    <w:rsid w:val="009A7B32"/>
    <w:rsid w:val="009B245E"/>
    <w:rsid w:val="009B375A"/>
    <w:rsid w:val="009C1D13"/>
    <w:rsid w:val="009C2695"/>
    <w:rsid w:val="009C26B5"/>
    <w:rsid w:val="009D132B"/>
    <w:rsid w:val="009D2C51"/>
    <w:rsid w:val="009D7859"/>
    <w:rsid w:val="009E6D29"/>
    <w:rsid w:val="009F6661"/>
    <w:rsid w:val="00A00013"/>
    <w:rsid w:val="00A0058F"/>
    <w:rsid w:val="00A00812"/>
    <w:rsid w:val="00A01E26"/>
    <w:rsid w:val="00A029BF"/>
    <w:rsid w:val="00A03782"/>
    <w:rsid w:val="00A06E0A"/>
    <w:rsid w:val="00A14BF9"/>
    <w:rsid w:val="00A15C69"/>
    <w:rsid w:val="00A20D49"/>
    <w:rsid w:val="00A27E2B"/>
    <w:rsid w:val="00A307C3"/>
    <w:rsid w:val="00A31568"/>
    <w:rsid w:val="00A3291B"/>
    <w:rsid w:val="00A336E8"/>
    <w:rsid w:val="00A3733B"/>
    <w:rsid w:val="00A40B92"/>
    <w:rsid w:val="00A41C8D"/>
    <w:rsid w:val="00A4230C"/>
    <w:rsid w:val="00A453E2"/>
    <w:rsid w:val="00A4637A"/>
    <w:rsid w:val="00A524C9"/>
    <w:rsid w:val="00A535AA"/>
    <w:rsid w:val="00A54E30"/>
    <w:rsid w:val="00A60C0A"/>
    <w:rsid w:val="00A61B89"/>
    <w:rsid w:val="00A66BD5"/>
    <w:rsid w:val="00A7011A"/>
    <w:rsid w:val="00A72AD4"/>
    <w:rsid w:val="00A72EA7"/>
    <w:rsid w:val="00A76076"/>
    <w:rsid w:val="00A76697"/>
    <w:rsid w:val="00A77F72"/>
    <w:rsid w:val="00A8227E"/>
    <w:rsid w:val="00A8355B"/>
    <w:rsid w:val="00A84DDC"/>
    <w:rsid w:val="00A86C96"/>
    <w:rsid w:val="00A87565"/>
    <w:rsid w:val="00A87A0D"/>
    <w:rsid w:val="00A9377B"/>
    <w:rsid w:val="00A97D59"/>
    <w:rsid w:val="00AA228C"/>
    <w:rsid w:val="00AA4CD0"/>
    <w:rsid w:val="00AB11B3"/>
    <w:rsid w:val="00AC6B7A"/>
    <w:rsid w:val="00AD07A2"/>
    <w:rsid w:val="00AE1177"/>
    <w:rsid w:val="00AF7031"/>
    <w:rsid w:val="00AF78DC"/>
    <w:rsid w:val="00B15E38"/>
    <w:rsid w:val="00B31263"/>
    <w:rsid w:val="00B31A8A"/>
    <w:rsid w:val="00B37D1F"/>
    <w:rsid w:val="00B42A84"/>
    <w:rsid w:val="00B473D7"/>
    <w:rsid w:val="00B511B1"/>
    <w:rsid w:val="00B56732"/>
    <w:rsid w:val="00B607FE"/>
    <w:rsid w:val="00B63028"/>
    <w:rsid w:val="00B64A66"/>
    <w:rsid w:val="00B70B77"/>
    <w:rsid w:val="00B71DA4"/>
    <w:rsid w:val="00B75B29"/>
    <w:rsid w:val="00B75BEA"/>
    <w:rsid w:val="00B814DF"/>
    <w:rsid w:val="00B87C3C"/>
    <w:rsid w:val="00B90886"/>
    <w:rsid w:val="00BA39C4"/>
    <w:rsid w:val="00BA42AE"/>
    <w:rsid w:val="00BA547B"/>
    <w:rsid w:val="00BA7044"/>
    <w:rsid w:val="00BB08B1"/>
    <w:rsid w:val="00BB22D2"/>
    <w:rsid w:val="00BB35C0"/>
    <w:rsid w:val="00BB6ED3"/>
    <w:rsid w:val="00BC366C"/>
    <w:rsid w:val="00BC68F1"/>
    <w:rsid w:val="00BC7A90"/>
    <w:rsid w:val="00BD1F0F"/>
    <w:rsid w:val="00BD3D56"/>
    <w:rsid w:val="00BD7A85"/>
    <w:rsid w:val="00BE1A4C"/>
    <w:rsid w:val="00BE492B"/>
    <w:rsid w:val="00BE5369"/>
    <w:rsid w:val="00BE54E5"/>
    <w:rsid w:val="00BF0DF5"/>
    <w:rsid w:val="00BF1E97"/>
    <w:rsid w:val="00BF2FC3"/>
    <w:rsid w:val="00BF312A"/>
    <w:rsid w:val="00BF4700"/>
    <w:rsid w:val="00BF599C"/>
    <w:rsid w:val="00BF7E8D"/>
    <w:rsid w:val="00C00BEC"/>
    <w:rsid w:val="00C01E4F"/>
    <w:rsid w:val="00C102B0"/>
    <w:rsid w:val="00C11B36"/>
    <w:rsid w:val="00C11E8A"/>
    <w:rsid w:val="00C12103"/>
    <w:rsid w:val="00C1553C"/>
    <w:rsid w:val="00C15BC3"/>
    <w:rsid w:val="00C17162"/>
    <w:rsid w:val="00C20357"/>
    <w:rsid w:val="00C21AF6"/>
    <w:rsid w:val="00C229FA"/>
    <w:rsid w:val="00C232F0"/>
    <w:rsid w:val="00C26A74"/>
    <w:rsid w:val="00C32117"/>
    <w:rsid w:val="00C353E6"/>
    <w:rsid w:val="00C56DA1"/>
    <w:rsid w:val="00C60EB9"/>
    <w:rsid w:val="00C61D12"/>
    <w:rsid w:val="00C648BF"/>
    <w:rsid w:val="00C809C1"/>
    <w:rsid w:val="00C85370"/>
    <w:rsid w:val="00C85598"/>
    <w:rsid w:val="00C934A0"/>
    <w:rsid w:val="00C93F96"/>
    <w:rsid w:val="00C94798"/>
    <w:rsid w:val="00CA45D6"/>
    <w:rsid w:val="00CB086D"/>
    <w:rsid w:val="00CB0A9C"/>
    <w:rsid w:val="00CB39CE"/>
    <w:rsid w:val="00CB5B81"/>
    <w:rsid w:val="00CC3FFD"/>
    <w:rsid w:val="00CC59D3"/>
    <w:rsid w:val="00CC6B50"/>
    <w:rsid w:val="00CC76D9"/>
    <w:rsid w:val="00CD3ED3"/>
    <w:rsid w:val="00CD5745"/>
    <w:rsid w:val="00CE3F11"/>
    <w:rsid w:val="00CE4A34"/>
    <w:rsid w:val="00CF0187"/>
    <w:rsid w:val="00D10C0F"/>
    <w:rsid w:val="00D14A7B"/>
    <w:rsid w:val="00D1692C"/>
    <w:rsid w:val="00D2092A"/>
    <w:rsid w:val="00D26FA2"/>
    <w:rsid w:val="00D34C71"/>
    <w:rsid w:val="00D424B9"/>
    <w:rsid w:val="00D44EFA"/>
    <w:rsid w:val="00D45363"/>
    <w:rsid w:val="00D473F1"/>
    <w:rsid w:val="00D54940"/>
    <w:rsid w:val="00D54944"/>
    <w:rsid w:val="00D61512"/>
    <w:rsid w:val="00D65459"/>
    <w:rsid w:val="00D66476"/>
    <w:rsid w:val="00D71949"/>
    <w:rsid w:val="00D7692F"/>
    <w:rsid w:val="00D76E43"/>
    <w:rsid w:val="00D800A6"/>
    <w:rsid w:val="00D839B9"/>
    <w:rsid w:val="00D852C7"/>
    <w:rsid w:val="00D904E0"/>
    <w:rsid w:val="00D92A03"/>
    <w:rsid w:val="00D941C0"/>
    <w:rsid w:val="00D95835"/>
    <w:rsid w:val="00D95E4D"/>
    <w:rsid w:val="00DA0B01"/>
    <w:rsid w:val="00DA61FB"/>
    <w:rsid w:val="00DA6FD7"/>
    <w:rsid w:val="00DB17E6"/>
    <w:rsid w:val="00DB70FA"/>
    <w:rsid w:val="00DC1C3C"/>
    <w:rsid w:val="00DC52C6"/>
    <w:rsid w:val="00DD42EF"/>
    <w:rsid w:val="00DD56DC"/>
    <w:rsid w:val="00DD7538"/>
    <w:rsid w:val="00DE2473"/>
    <w:rsid w:val="00DE45F0"/>
    <w:rsid w:val="00DE46FA"/>
    <w:rsid w:val="00DE542F"/>
    <w:rsid w:val="00DE596C"/>
    <w:rsid w:val="00E004E2"/>
    <w:rsid w:val="00E01A3B"/>
    <w:rsid w:val="00E020E1"/>
    <w:rsid w:val="00E0576E"/>
    <w:rsid w:val="00E07813"/>
    <w:rsid w:val="00E1049C"/>
    <w:rsid w:val="00E22828"/>
    <w:rsid w:val="00E274F9"/>
    <w:rsid w:val="00E2772E"/>
    <w:rsid w:val="00E312F8"/>
    <w:rsid w:val="00E3206B"/>
    <w:rsid w:val="00E3348C"/>
    <w:rsid w:val="00E40134"/>
    <w:rsid w:val="00E41E41"/>
    <w:rsid w:val="00E4264C"/>
    <w:rsid w:val="00E426B1"/>
    <w:rsid w:val="00E42F65"/>
    <w:rsid w:val="00E544B0"/>
    <w:rsid w:val="00E65DCA"/>
    <w:rsid w:val="00E77993"/>
    <w:rsid w:val="00E821BF"/>
    <w:rsid w:val="00E85C44"/>
    <w:rsid w:val="00E869A4"/>
    <w:rsid w:val="00E86BAE"/>
    <w:rsid w:val="00E87435"/>
    <w:rsid w:val="00E9237B"/>
    <w:rsid w:val="00E9584D"/>
    <w:rsid w:val="00E97A58"/>
    <w:rsid w:val="00EA3E84"/>
    <w:rsid w:val="00EA72C3"/>
    <w:rsid w:val="00EB2859"/>
    <w:rsid w:val="00EB4DC9"/>
    <w:rsid w:val="00EB681A"/>
    <w:rsid w:val="00EC4231"/>
    <w:rsid w:val="00EC50C9"/>
    <w:rsid w:val="00EC512E"/>
    <w:rsid w:val="00EC5EF5"/>
    <w:rsid w:val="00EC7579"/>
    <w:rsid w:val="00ED1A80"/>
    <w:rsid w:val="00ED1F77"/>
    <w:rsid w:val="00ED6737"/>
    <w:rsid w:val="00ED76EE"/>
    <w:rsid w:val="00EF05A9"/>
    <w:rsid w:val="00EF3A70"/>
    <w:rsid w:val="00EF56FE"/>
    <w:rsid w:val="00EF7F7B"/>
    <w:rsid w:val="00F00751"/>
    <w:rsid w:val="00F017EB"/>
    <w:rsid w:val="00F04A10"/>
    <w:rsid w:val="00F24458"/>
    <w:rsid w:val="00F25A6C"/>
    <w:rsid w:val="00F27C41"/>
    <w:rsid w:val="00F334A9"/>
    <w:rsid w:val="00F35122"/>
    <w:rsid w:val="00F36A11"/>
    <w:rsid w:val="00F402C7"/>
    <w:rsid w:val="00F41585"/>
    <w:rsid w:val="00F42C60"/>
    <w:rsid w:val="00F4401D"/>
    <w:rsid w:val="00F5196C"/>
    <w:rsid w:val="00F55718"/>
    <w:rsid w:val="00F62637"/>
    <w:rsid w:val="00F62F5B"/>
    <w:rsid w:val="00F67037"/>
    <w:rsid w:val="00F70DCC"/>
    <w:rsid w:val="00F74862"/>
    <w:rsid w:val="00F74932"/>
    <w:rsid w:val="00F8074A"/>
    <w:rsid w:val="00F82008"/>
    <w:rsid w:val="00F94CE0"/>
    <w:rsid w:val="00F9662C"/>
    <w:rsid w:val="00F97FD2"/>
    <w:rsid w:val="00FA0130"/>
    <w:rsid w:val="00FA0199"/>
    <w:rsid w:val="00FA1130"/>
    <w:rsid w:val="00FA59F3"/>
    <w:rsid w:val="00FA7D84"/>
    <w:rsid w:val="00FB33AC"/>
    <w:rsid w:val="00FB42A0"/>
    <w:rsid w:val="00FB6F9E"/>
    <w:rsid w:val="00FC05CE"/>
    <w:rsid w:val="00FC484E"/>
    <w:rsid w:val="00FC65A3"/>
    <w:rsid w:val="00FD1A97"/>
    <w:rsid w:val="00FD36D9"/>
    <w:rsid w:val="00FD4CE3"/>
    <w:rsid w:val="00FE6714"/>
    <w:rsid w:val="00FE7974"/>
    <w:rsid w:val="00FF201E"/>
    <w:rsid w:val="00FF29D3"/>
    <w:rsid w:val="00FF5349"/>
    <w:rsid w:val="00FF582E"/>
    <w:rsid w:val="00FF6617"/>
    <w:rsid w:val="00FF6F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qFormat/>
    <w:rsid w:val="0068532B"/>
    <w:pPr>
      <w:keepNext/>
      <w:widowControl w:val="0"/>
      <w:autoSpaceDE w:val="0"/>
      <w:autoSpaceDN w:val="0"/>
      <w:adjustRightInd w:val="0"/>
      <w:jc w:val="both"/>
      <w:outlineLvl w:val="0"/>
    </w:pPr>
    <w:rPr>
      <w:rFonts w:eastAsia="Times New Roman" w:cstheme="minorHAnsi"/>
      <w:b/>
      <w:bCs/>
      <w:caps/>
      <w:color w:val="365F91" w:themeColor="accent1" w:themeShade="BF"/>
      <w:kern w:val="32"/>
      <w:sz w:val="32"/>
      <w:szCs w:val="24"/>
      <w:lang w:val="x-none" w:eastAsia="x-none"/>
    </w:rPr>
  </w:style>
  <w:style w:type="paragraph" w:styleId="Heading2">
    <w:name w:val="heading 2"/>
    <w:basedOn w:val="Normal"/>
    <w:next w:val="Normal"/>
    <w:link w:val="Heading2Char"/>
    <w:uiPriority w:val="9"/>
    <w:unhideWhenUsed/>
    <w:qFormat/>
    <w:rsid w:val="00FF66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14A7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72EA7"/>
    <w:rPr>
      <w:b/>
      <w:bCs/>
      <w:i w:val="0"/>
      <w:iCs w:val="0"/>
    </w:rPr>
  </w:style>
  <w:style w:type="paragraph" w:styleId="FootnoteText">
    <w:name w:val="footnote text"/>
    <w:basedOn w:val="Normal"/>
    <w:link w:val="FootnoteTextChar"/>
    <w:uiPriority w:val="99"/>
    <w:unhideWhenUsed/>
    <w:rsid w:val="00A54E30"/>
    <w:pPr>
      <w:spacing w:after="0" w:line="240" w:lineRule="auto"/>
    </w:pPr>
    <w:rPr>
      <w:sz w:val="20"/>
      <w:szCs w:val="20"/>
    </w:rPr>
  </w:style>
  <w:style w:type="character" w:customStyle="1" w:styleId="FootnoteTextChar">
    <w:name w:val="Footnote Text Char"/>
    <w:basedOn w:val="DefaultParagraphFont"/>
    <w:link w:val="FootnoteText"/>
    <w:uiPriority w:val="99"/>
    <w:rsid w:val="00A54E30"/>
    <w:rPr>
      <w:sz w:val="20"/>
      <w:szCs w:val="20"/>
    </w:rPr>
  </w:style>
  <w:style w:type="character" w:styleId="FootnoteReference">
    <w:name w:val="footnote reference"/>
    <w:basedOn w:val="DefaultParagraphFont"/>
    <w:uiPriority w:val="99"/>
    <w:semiHidden/>
    <w:unhideWhenUsed/>
    <w:rsid w:val="00A54E30"/>
    <w:rPr>
      <w:vertAlign w:val="superscript"/>
    </w:rPr>
  </w:style>
  <w:style w:type="paragraph" w:styleId="ListParagraph">
    <w:name w:val="List Paragraph"/>
    <w:basedOn w:val="Normal"/>
    <w:uiPriority w:val="34"/>
    <w:qFormat/>
    <w:rsid w:val="009C26B5"/>
    <w:pPr>
      <w:ind w:left="720"/>
      <w:contextualSpacing/>
    </w:pPr>
  </w:style>
  <w:style w:type="table" w:styleId="TableGrid">
    <w:name w:val="Table Grid"/>
    <w:basedOn w:val="TableNormal"/>
    <w:uiPriority w:val="59"/>
    <w:rsid w:val="00C121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F6E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6E0D"/>
    <w:rPr>
      <w:rFonts w:ascii="Tahoma" w:hAnsi="Tahoma" w:cs="Tahoma"/>
      <w:sz w:val="16"/>
      <w:szCs w:val="16"/>
    </w:rPr>
  </w:style>
  <w:style w:type="paragraph" w:styleId="NormalWeb">
    <w:name w:val="Normal (Web)"/>
    <w:basedOn w:val="Normal"/>
    <w:uiPriority w:val="99"/>
    <w:semiHidden/>
    <w:unhideWhenUsed/>
    <w:rsid w:val="004F6E0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B70B77"/>
    <w:pPr>
      <w:spacing w:after="0" w:line="240" w:lineRule="auto"/>
    </w:pPr>
  </w:style>
  <w:style w:type="character" w:styleId="CommentReference">
    <w:name w:val="annotation reference"/>
    <w:basedOn w:val="DefaultParagraphFont"/>
    <w:uiPriority w:val="99"/>
    <w:semiHidden/>
    <w:unhideWhenUsed/>
    <w:rsid w:val="00435A15"/>
    <w:rPr>
      <w:sz w:val="16"/>
      <w:szCs w:val="16"/>
    </w:rPr>
  </w:style>
  <w:style w:type="paragraph" w:styleId="CommentText">
    <w:name w:val="annotation text"/>
    <w:basedOn w:val="Normal"/>
    <w:link w:val="CommentTextChar"/>
    <w:uiPriority w:val="99"/>
    <w:semiHidden/>
    <w:unhideWhenUsed/>
    <w:rsid w:val="00435A15"/>
    <w:pPr>
      <w:spacing w:line="240" w:lineRule="auto"/>
    </w:pPr>
    <w:rPr>
      <w:sz w:val="20"/>
      <w:szCs w:val="20"/>
    </w:rPr>
  </w:style>
  <w:style w:type="character" w:customStyle="1" w:styleId="CommentTextChar">
    <w:name w:val="Comment Text Char"/>
    <w:basedOn w:val="DefaultParagraphFont"/>
    <w:link w:val="CommentText"/>
    <w:uiPriority w:val="99"/>
    <w:semiHidden/>
    <w:rsid w:val="00435A15"/>
    <w:rPr>
      <w:sz w:val="20"/>
      <w:szCs w:val="20"/>
    </w:rPr>
  </w:style>
  <w:style w:type="paragraph" w:styleId="CommentSubject">
    <w:name w:val="annotation subject"/>
    <w:basedOn w:val="CommentText"/>
    <w:next w:val="CommentText"/>
    <w:link w:val="CommentSubjectChar"/>
    <w:uiPriority w:val="99"/>
    <w:semiHidden/>
    <w:unhideWhenUsed/>
    <w:rsid w:val="00435A15"/>
    <w:rPr>
      <w:b/>
      <w:bCs/>
    </w:rPr>
  </w:style>
  <w:style w:type="character" w:customStyle="1" w:styleId="CommentSubjectChar">
    <w:name w:val="Comment Subject Char"/>
    <w:basedOn w:val="CommentTextChar"/>
    <w:link w:val="CommentSubject"/>
    <w:uiPriority w:val="99"/>
    <w:semiHidden/>
    <w:rsid w:val="00435A15"/>
    <w:rPr>
      <w:b/>
      <w:bCs/>
      <w:sz w:val="20"/>
      <w:szCs w:val="20"/>
    </w:rPr>
  </w:style>
  <w:style w:type="character" w:styleId="Hyperlink">
    <w:name w:val="Hyperlink"/>
    <w:basedOn w:val="DefaultParagraphFont"/>
    <w:uiPriority w:val="99"/>
    <w:unhideWhenUsed/>
    <w:rsid w:val="00D941C0"/>
    <w:rPr>
      <w:color w:val="0000FF" w:themeColor="hyperlink"/>
      <w:u w:val="single"/>
    </w:rPr>
  </w:style>
  <w:style w:type="paragraph" w:styleId="Header">
    <w:name w:val="header"/>
    <w:basedOn w:val="Normal"/>
    <w:link w:val="HeaderChar"/>
    <w:unhideWhenUsed/>
    <w:rsid w:val="00FC48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484E"/>
  </w:style>
  <w:style w:type="paragraph" w:styleId="Footer">
    <w:name w:val="footer"/>
    <w:basedOn w:val="Normal"/>
    <w:link w:val="FooterChar"/>
    <w:uiPriority w:val="99"/>
    <w:unhideWhenUsed/>
    <w:rsid w:val="00FC48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484E"/>
  </w:style>
  <w:style w:type="character" w:customStyle="1" w:styleId="Heading2Char">
    <w:name w:val="Heading 2 Char"/>
    <w:basedOn w:val="DefaultParagraphFont"/>
    <w:link w:val="Heading2"/>
    <w:uiPriority w:val="9"/>
    <w:rsid w:val="00FF6617"/>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rsid w:val="0068532B"/>
    <w:rPr>
      <w:rFonts w:eastAsia="Times New Roman" w:cstheme="minorHAnsi"/>
      <w:b/>
      <w:bCs/>
      <w:caps/>
      <w:color w:val="365F91" w:themeColor="accent1" w:themeShade="BF"/>
      <w:kern w:val="32"/>
      <w:sz w:val="32"/>
      <w:szCs w:val="24"/>
      <w:lang w:val="x-none" w:eastAsia="x-none"/>
    </w:rPr>
  </w:style>
  <w:style w:type="paragraph" w:styleId="TOC1">
    <w:name w:val="toc 1"/>
    <w:basedOn w:val="Normal"/>
    <w:next w:val="Normal"/>
    <w:autoRedefine/>
    <w:uiPriority w:val="39"/>
    <w:rsid w:val="00252FBF"/>
    <w:pPr>
      <w:tabs>
        <w:tab w:val="right" w:leader="dot" w:pos="9350"/>
      </w:tabs>
      <w:spacing w:before="120" w:after="120"/>
    </w:pPr>
    <w:rPr>
      <w:rFonts w:eastAsia="Times New Roman" w:cstheme="minorHAnsi"/>
      <w:bCs/>
      <w:noProof/>
      <w:sz w:val="24"/>
      <w:szCs w:val="20"/>
    </w:rPr>
  </w:style>
  <w:style w:type="paragraph" w:styleId="TOC2">
    <w:name w:val="toc 2"/>
    <w:basedOn w:val="Normal"/>
    <w:next w:val="Normal"/>
    <w:autoRedefine/>
    <w:uiPriority w:val="39"/>
    <w:rsid w:val="00252FBF"/>
    <w:pPr>
      <w:spacing w:after="0"/>
      <w:ind w:left="240"/>
    </w:pPr>
    <w:rPr>
      <w:rFonts w:eastAsia="Times New Roman" w:cstheme="minorHAnsi"/>
      <w:smallCaps/>
      <w:sz w:val="24"/>
      <w:szCs w:val="20"/>
    </w:rPr>
  </w:style>
  <w:style w:type="character" w:styleId="PageNumber">
    <w:name w:val="page number"/>
    <w:basedOn w:val="DefaultParagraphFont"/>
    <w:rsid w:val="00252FBF"/>
  </w:style>
  <w:style w:type="paragraph" w:styleId="PlainText">
    <w:name w:val="Plain Text"/>
    <w:basedOn w:val="Normal"/>
    <w:link w:val="PlainTextChar"/>
    <w:uiPriority w:val="99"/>
    <w:rsid w:val="00252FBF"/>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uiPriority w:val="99"/>
    <w:rsid w:val="00252FBF"/>
    <w:rPr>
      <w:rFonts w:ascii="Courier New" w:eastAsia="Times New Roman" w:hAnsi="Courier New" w:cs="Times New Roman"/>
      <w:sz w:val="20"/>
      <w:szCs w:val="20"/>
      <w:lang w:val="x-none" w:eastAsia="x-none"/>
    </w:rPr>
  </w:style>
  <w:style w:type="paragraph" w:styleId="TOC3">
    <w:name w:val="toc 3"/>
    <w:basedOn w:val="Normal"/>
    <w:next w:val="Normal"/>
    <w:autoRedefine/>
    <w:uiPriority w:val="39"/>
    <w:rsid w:val="00252FBF"/>
    <w:pPr>
      <w:spacing w:after="0"/>
      <w:ind w:left="480"/>
    </w:pPr>
    <w:rPr>
      <w:rFonts w:eastAsia="Times New Roman" w:cstheme="minorHAnsi"/>
      <w:i/>
      <w:iCs/>
      <w:sz w:val="24"/>
      <w:szCs w:val="20"/>
    </w:rPr>
  </w:style>
  <w:style w:type="paragraph" w:styleId="TableofFigures">
    <w:name w:val="table of figures"/>
    <w:basedOn w:val="Normal"/>
    <w:next w:val="Normal"/>
    <w:uiPriority w:val="99"/>
    <w:rsid w:val="00252FBF"/>
    <w:rPr>
      <w:rFonts w:ascii="Calibri" w:eastAsia="Times New Roman" w:hAnsi="Calibri" w:cs="Times New Roman"/>
      <w:sz w:val="24"/>
      <w:szCs w:val="20"/>
    </w:rPr>
  </w:style>
  <w:style w:type="paragraph" w:styleId="TOCHeading">
    <w:name w:val="TOC Heading"/>
    <w:basedOn w:val="Heading1"/>
    <w:next w:val="Normal"/>
    <w:uiPriority w:val="39"/>
    <w:unhideWhenUsed/>
    <w:qFormat/>
    <w:rsid w:val="00252FBF"/>
    <w:pPr>
      <w:keepLines/>
      <w:widowControl/>
      <w:autoSpaceDE/>
      <w:autoSpaceDN/>
      <w:adjustRightInd/>
      <w:spacing w:before="480" w:after="0"/>
      <w:jc w:val="left"/>
      <w:outlineLvl w:val="9"/>
    </w:pPr>
    <w:rPr>
      <w:rFonts w:asciiTheme="majorHAnsi" w:eastAsiaTheme="majorEastAsia" w:hAnsiTheme="majorHAnsi" w:cstheme="majorBidi"/>
      <w:kern w:val="0"/>
      <w:szCs w:val="28"/>
      <w:lang w:val="en-US" w:eastAsia="ja-JP"/>
    </w:rPr>
  </w:style>
  <w:style w:type="paragraph" w:styleId="Caption">
    <w:name w:val="caption"/>
    <w:basedOn w:val="Normal"/>
    <w:next w:val="Normal"/>
    <w:uiPriority w:val="35"/>
    <w:unhideWhenUsed/>
    <w:qFormat/>
    <w:rsid w:val="00973DBF"/>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D14A7B"/>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qFormat/>
    <w:rsid w:val="0068532B"/>
    <w:pPr>
      <w:keepNext/>
      <w:widowControl w:val="0"/>
      <w:autoSpaceDE w:val="0"/>
      <w:autoSpaceDN w:val="0"/>
      <w:adjustRightInd w:val="0"/>
      <w:jc w:val="both"/>
      <w:outlineLvl w:val="0"/>
    </w:pPr>
    <w:rPr>
      <w:rFonts w:eastAsia="Times New Roman" w:cstheme="minorHAnsi"/>
      <w:b/>
      <w:bCs/>
      <w:caps/>
      <w:color w:val="365F91" w:themeColor="accent1" w:themeShade="BF"/>
      <w:kern w:val="32"/>
      <w:sz w:val="32"/>
      <w:szCs w:val="24"/>
      <w:lang w:val="x-none" w:eastAsia="x-none"/>
    </w:rPr>
  </w:style>
  <w:style w:type="paragraph" w:styleId="Heading2">
    <w:name w:val="heading 2"/>
    <w:basedOn w:val="Normal"/>
    <w:next w:val="Normal"/>
    <w:link w:val="Heading2Char"/>
    <w:uiPriority w:val="9"/>
    <w:unhideWhenUsed/>
    <w:qFormat/>
    <w:rsid w:val="00FF66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14A7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72EA7"/>
    <w:rPr>
      <w:b/>
      <w:bCs/>
      <w:i w:val="0"/>
      <w:iCs w:val="0"/>
    </w:rPr>
  </w:style>
  <w:style w:type="paragraph" w:styleId="FootnoteText">
    <w:name w:val="footnote text"/>
    <w:basedOn w:val="Normal"/>
    <w:link w:val="FootnoteTextChar"/>
    <w:uiPriority w:val="99"/>
    <w:unhideWhenUsed/>
    <w:rsid w:val="00A54E30"/>
    <w:pPr>
      <w:spacing w:after="0" w:line="240" w:lineRule="auto"/>
    </w:pPr>
    <w:rPr>
      <w:sz w:val="20"/>
      <w:szCs w:val="20"/>
    </w:rPr>
  </w:style>
  <w:style w:type="character" w:customStyle="1" w:styleId="FootnoteTextChar">
    <w:name w:val="Footnote Text Char"/>
    <w:basedOn w:val="DefaultParagraphFont"/>
    <w:link w:val="FootnoteText"/>
    <w:uiPriority w:val="99"/>
    <w:rsid w:val="00A54E30"/>
    <w:rPr>
      <w:sz w:val="20"/>
      <w:szCs w:val="20"/>
    </w:rPr>
  </w:style>
  <w:style w:type="character" w:styleId="FootnoteReference">
    <w:name w:val="footnote reference"/>
    <w:basedOn w:val="DefaultParagraphFont"/>
    <w:uiPriority w:val="99"/>
    <w:semiHidden/>
    <w:unhideWhenUsed/>
    <w:rsid w:val="00A54E30"/>
    <w:rPr>
      <w:vertAlign w:val="superscript"/>
    </w:rPr>
  </w:style>
  <w:style w:type="paragraph" w:styleId="ListParagraph">
    <w:name w:val="List Paragraph"/>
    <w:basedOn w:val="Normal"/>
    <w:uiPriority w:val="34"/>
    <w:qFormat/>
    <w:rsid w:val="009C26B5"/>
    <w:pPr>
      <w:ind w:left="720"/>
      <w:contextualSpacing/>
    </w:pPr>
  </w:style>
  <w:style w:type="table" w:styleId="TableGrid">
    <w:name w:val="Table Grid"/>
    <w:basedOn w:val="TableNormal"/>
    <w:uiPriority w:val="59"/>
    <w:rsid w:val="00C121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F6E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6E0D"/>
    <w:rPr>
      <w:rFonts w:ascii="Tahoma" w:hAnsi="Tahoma" w:cs="Tahoma"/>
      <w:sz w:val="16"/>
      <w:szCs w:val="16"/>
    </w:rPr>
  </w:style>
  <w:style w:type="paragraph" w:styleId="NormalWeb">
    <w:name w:val="Normal (Web)"/>
    <w:basedOn w:val="Normal"/>
    <w:uiPriority w:val="99"/>
    <w:semiHidden/>
    <w:unhideWhenUsed/>
    <w:rsid w:val="004F6E0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B70B77"/>
    <w:pPr>
      <w:spacing w:after="0" w:line="240" w:lineRule="auto"/>
    </w:pPr>
  </w:style>
  <w:style w:type="character" w:styleId="CommentReference">
    <w:name w:val="annotation reference"/>
    <w:basedOn w:val="DefaultParagraphFont"/>
    <w:uiPriority w:val="99"/>
    <w:semiHidden/>
    <w:unhideWhenUsed/>
    <w:rsid w:val="00435A15"/>
    <w:rPr>
      <w:sz w:val="16"/>
      <w:szCs w:val="16"/>
    </w:rPr>
  </w:style>
  <w:style w:type="paragraph" w:styleId="CommentText">
    <w:name w:val="annotation text"/>
    <w:basedOn w:val="Normal"/>
    <w:link w:val="CommentTextChar"/>
    <w:uiPriority w:val="99"/>
    <w:semiHidden/>
    <w:unhideWhenUsed/>
    <w:rsid w:val="00435A15"/>
    <w:pPr>
      <w:spacing w:line="240" w:lineRule="auto"/>
    </w:pPr>
    <w:rPr>
      <w:sz w:val="20"/>
      <w:szCs w:val="20"/>
    </w:rPr>
  </w:style>
  <w:style w:type="character" w:customStyle="1" w:styleId="CommentTextChar">
    <w:name w:val="Comment Text Char"/>
    <w:basedOn w:val="DefaultParagraphFont"/>
    <w:link w:val="CommentText"/>
    <w:uiPriority w:val="99"/>
    <w:semiHidden/>
    <w:rsid w:val="00435A15"/>
    <w:rPr>
      <w:sz w:val="20"/>
      <w:szCs w:val="20"/>
    </w:rPr>
  </w:style>
  <w:style w:type="paragraph" w:styleId="CommentSubject">
    <w:name w:val="annotation subject"/>
    <w:basedOn w:val="CommentText"/>
    <w:next w:val="CommentText"/>
    <w:link w:val="CommentSubjectChar"/>
    <w:uiPriority w:val="99"/>
    <w:semiHidden/>
    <w:unhideWhenUsed/>
    <w:rsid w:val="00435A15"/>
    <w:rPr>
      <w:b/>
      <w:bCs/>
    </w:rPr>
  </w:style>
  <w:style w:type="character" w:customStyle="1" w:styleId="CommentSubjectChar">
    <w:name w:val="Comment Subject Char"/>
    <w:basedOn w:val="CommentTextChar"/>
    <w:link w:val="CommentSubject"/>
    <w:uiPriority w:val="99"/>
    <w:semiHidden/>
    <w:rsid w:val="00435A15"/>
    <w:rPr>
      <w:b/>
      <w:bCs/>
      <w:sz w:val="20"/>
      <w:szCs w:val="20"/>
    </w:rPr>
  </w:style>
  <w:style w:type="character" w:styleId="Hyperlink">
    <w:name w:val="Hyperlink"/>
    <w:basedOn w:val="DefaultParagraphFont"/>
    <w:uiPriority w:val="99"/>
    <w:unhideWhenUsed/>
    <w:rsid w:val="00D941C0"/>
    <w:rPr>
      <w:color w:val="0000FF" w:themeColor="hyperlink"/>
      <w:u w:val="single"/>
    </w:rPr>
  </w:style>
  <w:style w:type="paragraph" w:styleId="Header">
    <w:name w:val="header"/>
    <w:basedOn w:val="Normal"/>
    <w:link w:val="HeaderChar"/>
    <w:unhideWhenUsed/>
    <w:rsid w:val="00FC48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484E"/>
  </w:style>
  <w:style w:type="paragraph" w:styleId="Footer">
    <w:name w:val="footer"/>
    <w:basedOn w:val="Normal"/>
    <w:link w:val="FooterChar"/>
    <w:uiPriority w:val="99"/>
    <w:unhideWhenUsed/>
    <w:rsid w:val="00FC48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484E"/>
  </w:style>
  <w:style w:type="character" w:customStyle="1" w:styleId="Heading2Char">
    <w:name w:val="Heading 2 Char"/>
    <w:basedOn w:val="DefaultParagraphFont"/>
    <w:link w:val="Heading2"/>
    <w:uiPriority w:val="9"/>
    <w:rsid w:val="00FF6617"/>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rsid w:val="0068532B"/>
    <w:rPr>
      <w:rFonts w:eastAsia="Times New Roman" w:cstheme="minorHAnsi"/>
      <w:b/>
      <w:bCs/>
      <w:caps/>
      <w:color w:val="365F91" w:themeColor="accent1" w:themeShade="BF"/>
      <w:kern w:val="32"/>
      <w:sz w:val="32"/>
      <w:szCs w:val="24"/>
      <w:lang w:val="x-none" w:eastAsia="x-none"/>
    </w:rPr>
  </w:style>
  <w:style w:type="paragraph" w:styleId="TOC1">
    <w:name w:val="toc 1"/>
    <w:basedOn w:val="Normal"/>
    <w:next w:val="Normal"/>
    <w:autoRedefine/>
    <w:uiPriority w:val="39"/>
    <w:rsid w:val="00252FBF"/>
    <w:pPr>
      <w:tabs>
        <w:tab w:val="right" w:leader="dot" w:pos="9350"/>
      </w:tabs>
      <w:spacing w:before="120" w:after="120"/>
    </w:pPr>
    <w:rPr>
      <w:rFonts w:eastAsia="Times New Roman" w:cstheme="minorHAnsi"/>
      <w:bCs/>
      <w:noProof/>
      <w:sz w:val="24"/>
      <w:szCs w:val="20"/>
    </w:rPr>
  </w:style>
  <w:style w:type="paragraph" w:styleId="TOC2">
    <w:name w:val="toc 2"/>
    <w:basedOn w:val="Normal"/>
    <w:next w:val="Normal"/>
    <w:autoRedefine/>
    <w:uiPriority w:val="39"/>
    <w:rsid w:val="00252FBF"/>
    <w:pPr>
      <w:spacing w:after="0"/>
      <w:ind w:left="240"/>
    </w:pPr>
    <w:rPr>
      <w:rFonts w:eastAsia="Times New Roman" w:cstheme="minorHAnsi"/>
      <w:smallCaps/>
      <w:sz w:val="24"/>
      <w:szCs w:val="20"/>
    </w:rPr>
  </w:style>
  <w:style w:type="character" w:styleId="PageNumber">
    <w:name w:val="page number"/>
    <w:basedOn w:val="DefaultParagraphFont"/>
    <w:rsid w:val="00252FBF"/>
  </w:style>
  <w:style w:type="paragraph" w:styleId="PlainText">
    <w:name w:val="Plain Text"/>
    <w:basedOn w:val="Normal"/>
    <w:link w:val="PlainTextChar"/>
    <w:uiPriority w:val="99"/>
    <w:rsid w:val="00252FBF"/>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uiPriority w:val="99"/>
    <w:rsid w:val="00252FBF"/>
    <w:rPr>
      <w:rFonts w:ascii="Courier New" w:eastAsia="Times New Roman" w:hAnsi="Courier New" w:cs="Times New Roman"/>
      <w:sz w:val="20"/>
      <w:szCs w:val="20"/>
      <w:lang w:val="x-none" w:eastAsia="x-none"/>
    </w:rPr>
  </w:style>
  <w:style w:type="paragraph" w:styleId="TOC3">
    <w:name w:val="toc 3"/>
    <w:basedOn w:val="Normal"/>
    <w:next w:val="Normal"/>
    <w:autoRedefine/>
    <w:uiPriority w:val="39"/>
    <w:rsid w:val="00252FBF"/>
    <w:pPr>
      <w:spacing w:after="0"/>
      <w:ind w:left="480"/>
    </w:pPr>
    <w:rPr>
      <w:rFonts w:eastAsia="Times New Roman" w:cstheme="minorHAnsi"/>
      <w:i/>
      <w:iCs/>
      <w:sz w:val="24"/>
      <w:szCs w:val="20"/>
    </w:rPr>
  </w:style>
  <w:style w:type="paragraph" w:styleId="TableofFigures">
    <w:name w:val="table of figures"/>
    <w:basedOn w:val="Normal"/>
    <w:next w:val="Normal"/>
    <w:uiPriority w:val="99"/>
    <w:rsid w:val="00252FBF"/>
    <w:rPr>
      <w:rFonts w:ascii="Calibri" w:eastAsia="Times New Roman" w:hAnsi="Calibri" w:cs="Times New Roman"/>
      <w:sz w:val="24"/>
      <w:szCs w:val="20"/>
    </w:rPr>
  </w:style>
  <w:style w:type="paragraph" w:styleId="TOCHeading">
    <w:name w:val="TOC Heading"/>
    <w:basedOn w:val="Heading1"/>
    <w:next w:val="Normal"/>
    <w:uiPriority w:val="39"/>
    <w:unhideWhenUsed/>
    <w:qFormat/>
    <w:rsid w:val="00252FBF"/>
    <w:pPr>
      <w:keepLines/>
      <w:widowControl/>
      <w:autoSpaceDE/>
      <w:autoSpaceDN/>
      <w:adjustRightInd/>
      <w:spacing w:before="480" w:after="0"/>
      <w:jc w:val="left"/>
      <w:outlineLvl w:val="9"/>
    </w:pPr>
    <w:rPr>
      <w:rFonts w:asciiTheme="majorHAnsi" w:eastAsiaTheme="majorEastAsia" w:hAnsiTheme="majorHAnsi" w:cstheme="majorBidi"/>
      <w:kern w:val="0"/>
      <w:szCs w:val="28"/>
      <w:lang w:val="en-US" w:eastAsia="ja-JP"/>
    </w:rPr>
  </w:style>
  <w:style w:type="paragraph" w:styleId="Caption">
    <w:name w:val="caption"/>
    <w:basedOn w:val="Normal"/>
    <w:next w:val="Normal"/>
    <w:uiPriority w:val="35"/>
    <w:unhideWhenUsed/>
    <w:qFormat/>
    <w:rsid w:val="00973DBF"/>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D14A7B"/>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797614">
      <w:bodyDiv w:val="1"/>
      <w:marLeft w:val="0"/>
      <w:marRight w:val="0"/>
      <w:marTop w:val="0"/>
      <w:marBottom w:val="0"/>
      <w:divBdr>
        <w:top w:val="none" w:sz="0" w:space="0" w:color="auto"/>
        <w:left w:val="none" w:sz="0" w:space="0" w:color="auto"/>
        <w:bottom w:val="none" w:sz="0" w:space="0" w:color="auto"/>
        <w:right w:val="none" w:sz="0" w:space="0" w:color="auto"/>
      </w:divBdr>
    </w:div>
    <w:div w:id="419378974">
      <w:bodyDiv w:val="1"/>
      <w:marLeft w:val="0"/>
      <w:marRight w:val="0"/>
      <w:marTop w:val="0"/>
      <w:marBottom w:val="0"/>
      <w:divBdr>
        <w:top w:val="none" w:sz="0" w:space="0" w:color="auto"/>
        <w:left w:val="none" w:sz="0" w:space="0" w:color="auto"/>
        <w:bottom w:val="none" w:sz="0" w:space="0" w:color="auto"/>
        <w:right w:val="none" w:sz="0" w:space="0" w:color="auto"/>
      </w:divBdr>
    </w:div>
    <w:div w:id="468520737">
      <w:bodyDiv w:val="1"/>
      <w:marLeft w:val="0"/>
      <w:marRight w:val="0"/>
      <w:marTop w:val="0"/>
      <w:marBottom w:val="0"/>
      <w:divBdr>
        <w:top w:val="none" w:sz="0" w:space="0" w:color="auto"/>
        <w:left w:val="none" w:sz="0" w:space="0" w:color="auto"/>
        <w:bottom w:val="none" w:sz="0" w:space="0" w:color="auto"/>
        <w:right w:val="none" w:sz="0" w:space="0" w:color="auto"/>
      </w:divBdr>
    </w:div>
    <w:div w:id="714550402">
      <w:bodyDiv w:val="1"/>
      <w:marLeft w:val="0"/>
      <w:marRight w:val="0"/>
      <w:marTop w:val="0"/>
      <w:marBottom w:val="0"/>
      <w:divBdr>
        <w:top w:val="none" w:sz="0" w:space="0" w:color="auto"/>
        <w:left w:val="none" w:sz="0" w:space="0" w:color="auto"/>
        <w:bottom w:val="none" w:sz="0" w:space="0" w:color="auto"/>
        <w:right w:val="none" w:sz="0" w:space="0" w:color="auto"/>
      </w:divBdr>
    </w:div>
    <w:div w:id="769199921">
      <w:bodyDiv w:val="1"/>
      <w:marLeft w:val="0"/>
      <w:marRight w:val="0"/>
      <w:marTop w:val="0"/>
      <w:marBottom w:val="0"/>
      <w:divBdr>
        <w:top w:val="none" w:sz="0" w:space="0" w:color="auto"/>
        <w:left w:val="none" w:sz="0" w:space="0" w:color="auto"/>
        <w:bottom w:val="none" w:sz="0" w:space="0" w:color="auto"/>
        <w:right w:val="none" w:sz="0" w:space="0" w:color="auto"/>
      </w:divBdr>
    </w:div>
    <w:div w:id="869296199">
      <w:bodyDiv w:val="1"/>
      <w:marLeft w:val="0"/>
      <w:marRight w:val="0"/>
      <w:marTop w:val="0"/>
      <w:marBottom w:val="0"/>
      <w:divBdr>
        <w:top w:val="none" w:sz="0" w:space="0" w:color="auto"/>
        <w:left w:val="none" w:sz="0" w:space="0" w:color="auto"/>
        <w:bottom w:val="none" w:sz="0" w:space="0" w:color="auto"/>
        <w:right w:val="none" w:sz="0" w:space="0" w:color="auto"/>
      </w:divBdr>
    </w:div>
    <w:div w:id="1328509715">
      <w:bodyDiv w:val="1"/>
      <w:marLeft w:val="0"/>
      <w:marRight w:val="0"/>
      <w:marTop w:val="0"/>
      <w:marBottom w:val="0"/>
      <w:divBdr>
        <w:top w:val="none" w:sz="0" w:space="0" w:color="auto"/>
        <w:left w:val="none" w:sz="0" w:space="0" w:color="auto"/>
        <w:bottom w:val="none" w:sz="0" w:space="0" w:color="auto"/>
        <w:right w:val="none" w:sz="0" w:space="0" w:color="auto"/>
      </w:divBdr>
    </w:div>
    <w:div w:id="1480615830">
      <w:bodyDiv w:val="1"/>
      <w:marLeft w:val="0"/>
      <w:marRight w:val="0"/>
      <w:marTop w:val="0"/>
      <w:marBottom w:val="0"/>
      <w:divBdr>
        <w:top w:val="none" w:sz="0" w:space="0" w:color="auto"/>
        <w:left w:val="none" w:sz="0" w:space="0" w:color="auto"/>
        <w:bottom w:val="none" w:sz="0" w:space="0" w:color="auto"/>
        <w:right w:val="none" w:sz="0" w:space="0" w:color="auto"/>
      </w:divBdr>
    </w:div>
    <w:div w:id="1725173135">
      <w:bodyDiv w:val="1"/>
      <w:marLeft w:val="0"/>
      <w:marRight w:val="0"/>
      <w:marTop w:val="0"/>
      <w:marBottom w:val="0"/>
      <w:divBdr>
        <w:top w:val="none" w:sz="0" w:space="0" w:color="auto"/>
        <w:left w:val="none" w:sz="0" w:space="0" w:color="auto"/>
        <w:bottom w:val="none" w:sz="0" w:space="0" w:color="auto"/>
        <w:right w:val="none" w:sz="0" w:space="0" w:color="auto"/>
      </w:divBdr>
    </w:div>
    <w:div w:id="2042894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image" Target="media/image5.jpeg"/><Relationship Id="rId21" Type="http://schemas.openxmlformats.org/officeDocument/2006/relationships/image" Target="media/image6.jpeg"/><Relationship Id="rId22" Type="http://schemas.openxmlformats.org/officeDocument/2006/relationships/image" Target="media/image7.jpeg"/><Relationship Id="rId23" Type="http://schemas.openxmlformats.org/officeDocument/2006/relationships/image" Target="media/image8.jpeg"/><Relationship Id="rId24" Type="http://schemas.openxmlformats.org/officeDocument/2006/relationships/footer" Target="footer6.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1.xml"/><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footer" Target="footer3.xml"/><Relationship Id="rId16" Type="http://schemas.openxmlformats.org/officeDocument/2006/relationships/footer" Target="footer4.xml"/><Relationship Id="rId17" Type="http://schemas.openxmlformats.org/officeDocument/2006/relationships/header" Target="header2.xml"/><Relationship Id="rId18" Type="http://schemas.openxmlformats.org/officeDocument/2006/relationships/footer" Target="footer5.xml"/><Relationship Id="rId19" Type="http://schemas.openxmlformats.org/officeDocument/2006/relationships/image" Target="media/image4.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9EF933-C7C6-6549-971D-BDA66F94F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77</Pages>
  <Words>24470</Words>
  <Characters>139482</Characters>
  <Application>Microsoft Macintosh Word</Application>
  <DocSecurity>4</DocSecurity>
  <Lines>1162</Lines>
  <Paragraphs>327</Paragraphs>
  <ScaleCrop>false</ScaleCrop>
  <HeadingPairs>
    <vt:vector size="2" baseType="variant">
      <vt:variant>
        <vt:lpstr>Title</vt:lpstr>
      </vt:variant>
      <vt:variant>
        <vt:i4>1</vt:i4>
      </vt:variant>
    </vt:vector>
  </HeadingPairs>
  <TitlesOfParts>
    <vt:vector size="1" baseType="lpstr">
      <vt:lpstr/>
    </vt:vector>
  </TitlesOfParts>
  <Company>Center for Automotive Research</Company>
  <LinksUpToDate>false</LinksUpToDate>
  <CharactersWithSpaces>163625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Joshua Cregger</dc:creator>
  <cp:lastModifiedBy>Amanda M. D'Amico</cp:lastModifiedBy>
  <cp:revision>2</cp:revision>
  <cp:lastPrinted>2013-04-05T18:11:00Z</cp:lastPrinted>
  <dcterms:created xsi:type="dcterms:W3CDTF">2013-04-08T14:54:00Z</dcterms:created>
  <dcterms:modified xsi:type="dcterms:W3CDTF">2013-04-08T14:54:00Z</dcterms:modified>
</cp:coreProperties>
</file>